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97" w:rsidRPr="003D1F97" w:rsidRDefault="003D1F97" w:rsidP="003D1F97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0"/>
          <w:lang w:eastAsia="ru-RU"/>
        </w:rPr>
      </w:pPr>
      <w:r>
        <w:rPr>
          <w:rFonts w:ascii="Courier New" w:eastAsia="Times New Roman" w:hAnsi="Courier New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-259080</wp:posOffset>
            </wp:positionV>
            <wp:extent cx="587375" cy="723900"/>
            <wp:effectExtent l="0" t="0" r="3175" b="0"/>
            <wp:wrapNone/>
            <wp:docPr id="9" name="Рисунок 9" descr="J:\Герб Етку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:\Герб Еткул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F97" w:rsidRPr="003D1F97" w:rsidRDefault="003D1F97" w:rsidP="003D1F97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</w:p>
    <w:p w:rsidR="003D1F97" w:rsidRPr="003D1F97" w:rsidRDefault="003D1F97" w:rsidP="003D1F97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</w:p>
    <w:p w:rsidR="003D1F97" w:rsidRPr="003D1F97" w:rsidRDefault="003D1F97" w:rsidP="003D1F97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val="x-none" w:eastAsia="ru-RU"/>
        </w:rPr>
      </w:pPr>
      <w:r w:rsidRPr="003D1F97">
        <w:rPr>
          <w:rFonts w:ascii="Times New Roman" w:eastAsia="Wingdings" w:hAnsi="Times New Roman" w:cs="Times New Roman"/>
          <w:b/>
          <w:sz w:val="28"/>
          <w:szCs w:val="20"/>
          <w:lang w:val="x-none" w:eastAsia="ru-RU"/>
        </w:rPr>
        <w:t>КОНТРОЛЬНО-РЕВИЗИОННАЯ  КОМИССИЯ</w:t>
      </w:r>
    </w:p>
    <w:p w:rsidR="003D1F97" w:rsidRPr="003D1F97" w:rsidRDefault="003D1F97" w:rsidP="003D1F97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val="x-none" w:eastAsia="ru-RU"/>
        </w:rPr>
      </w:pPr>
      <w:r w:rsidRPr="003D1F97">
        <w:rPr>
          <w:rFonts w:ascii="Times New Roman" w:eastAsia="Wingdings" w:hAnsi="Times New Roman" w:cs="Times New Roman"/>
          <w:b/>
          <w:sz w:val="28"/>
          <w:szCs w:val="20"/>
          <w:lang w:val="x-none" w:eastAsia="ru-RU"/>
        </w:rPr>
        <w:t>ЕТКУЛЬСКОГО МУНИЦИПАЛЬНОГО РАЙОНА</w:t>
      </w:r>
    </w:p>
    <w:p w:rsidR="003D1F97" w:rsidRPr="003D1F97" w:rsidRDefault="003D1F97" w:rsidP="003D1F9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51435</wp:posOffset>
                </wp:positionV>
                <wp:extent cx="6464300" cy="73025"/>
                <wp:effectExtent l="17145" t="19050" r="14605" b="1270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300" cy="73025"/>
                          <a:chOff x="1152" y="2880"/>
                          <a:chExt cx="10180" cy="115"/>
                        </a:xfrm>
                      </wpg:grpSpPr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152" y="2880"/>
                            <a:ext cx="10180" cy="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152" y="2995"/>
                            <a:ext cx="101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-27.45pt;margin-top:4.05pt;width:509pt;height:5.75pt;z-index:251659264" coordorigin="1152,2880" coordsize="10180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left:1152;top:2880;width:101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Lf5MQAAADaAAAADwAAAGRycy9kb3ducmV2LnhtbESPzW7CMBCE75X6DtYi9VYc+gMoxEEI&#10;tRW9UcqF2ypekoh4HWwTkrfHSJV6HM3MN5ps2ZtGdOR8bVnBZJyAIC6srrlUsP/9fJ6D8AFZY2OZ&#10;FAzkYZk/PmSYanvlH+p2oRQRwj5FBVUIbSqlLyoy6Me2JY7e0TqDIUpXSu3wGuGmkS9JMpUGa44L&#10;Fba0rqg47S5Gwcf3pZ+9noevldzo5q0b3rduelDqadSvFiAC9eE//NfeaAUzuF+JN0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Mt/kxAAAANoAAAAPAAAAAAAAAAAA&#10;AAAAAKECAABkcnMvZG93bnJldi54bWxQSwUGAAAAAAQABAD5AAAAkgMAAAAA&#10;" strokeweight="1.75pt"/>
                <v:shape id="AutoShape 8" o:spid="_x0000_s1028" type="#_x0000_t32" style="position:absolute;left:1152;top:2995;width:101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</v:group>
            </w:pict>
          </mc:Fallback>
        </mc:AlternateContent>
      </w:r>
    </w:p>
    <w:p w:rsidR="003D1F97" w:rsidRPr="003D1F97" w:rsidRDefault="003D1F97" w:rsidP="003D1F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1F97">
        <w:rPr>
          <w:rFonts w:ascii="Times New Roman" w:eastAsia="Times New Roman" w:hAnsi="Times New Roman" w:cs="Times New Roman"/>
          <w:lang w:eastAsia="ru-RU"/>
        </w:rPr>
        <w:t xml:space="preserve">Ленина ул., д. 34, </w:t>
      </w:r>
      <w:proofErr w:type="spellStart"/>
      <w:r w:rsidRPr="003D1F97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3D1F97">
        <w:rPr>
          <w:rFonts w:ascii="Times New Roman" w:eastAsia="Times New Roman" w:hAnsi="Times New Roman" w:cs="Times New Roman"/>
          <w:lang w:eastAsia="ru-RU"/>
        </w:rPr>
        <w:t>. 37, с. Еткуль, 456560. тел./факс (35145) 2-26-93</w:t>
      </w:r>
    </w:p>
    <w:p w:rsidR="000C6FF2" w:rsidRPr="000C6FF2" w:rsidRDefault="000C6FF2" w:rsidP="000C6FF2">
      <w:pPr>
        <w:tabs>
          <w:tab w:val="left" w:pos="1560"/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C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C6FF2" w:rsidRPr="000C6FF2" w:rsidRDefault="000C6FF2" w:rsidP="000C6FF2">
      <w:pPr>
        <w:tabs>
          <w:tab w:val="left" w:pos="1560"/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FF2">
        <w:rPr>
          <w:rFonts w:ascii="Times New Roman" w:eastAsia="Times New Roman" w:hAnsi="Times New Roman" w:cs="Times New Roman"/>
          <w:bCs/>
          <w:lang w:eastAsia="ru-RU"/>
        </w:rPr>
        <w:t xml:space="preserve">с. Еткуль                                                                                                </w:t>
      </w:r>
      <w:r w:rsidR="002230E5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03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марта 2016</w:t>
      </w:r>
      <w:r w:rsidRPr="000C6FF2">
        <w:rPr>
          <w:rFonts w:ascii="Times New Roman" w:eastAsia="Times New Roman" w:hAnsi="Times New Roman" w:cs="Times New Roman"/>
          <w:bCs/>
          <w:lang w:eastAsia="ru-RU"/>
        </w:rPr>
        <w:t xml:space="preserve">г.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</w:t>
      </w:r>
      <w:r w:rsidR="002230E5">
        <w:rPr>
          <w:rFonts w:ascii="Times New Roman" w:eastAsia="Times New Roman" w:hAnsi="Times New Roman" w:cs="Times New Roman"/>
          <w:bCs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исх. №  </w:t>
      </w:r>
      <w:r w:rsidR="00C9572B">
        <w:rPr>
          <w:rFonts w:ascii="Times New Roman" w:eastAsia="Times New Roman" w:hAnsi="Times New Roman" w:cs="Times New Roman"/>
          <w:bCs/>
          <w:lang w:eastAsia="ru-RU"/>
        </w:rPr>
        <w:t>21</w:t>
      </w:r>
      <w:r w:rsidRPr="000C6FF2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</w:t>
      </w:r>
    </w:p>
    <w:p w:rsidR="000C6FF2" w:rsidRPr="000C6FF2" w:rsidRDefault="000C6FF2" w:rsidP="000C6FF2">
      <w:pPr>
        <w:tabs>
          <w:tab w:val="left" w:pos="1560"/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C6FF2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</w:t>
      </w:r>
    </w:p>
    <w:p w:rsidR="000C6FF2" w:rsidRPr="000C6FF2" w:rsidRDefault="000C6FF2" w:rsidP="000C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230E5" w:rsidRDefault="002230E5" w:rsidP="000C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A687F" w:rsidRPr="005A687F" w:rsidRDefault="005A687F" w:rsidP="005A68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</w:p>
    <w:p w:rsidR="000C6FF2" w:rsidRPr="000C6FF2" w:rsidRDefault="005A687F" w:rsidP="000C6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A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внешней проверки бюджетной отчетности и исполнения   бюджета Еткульского муниципального района  за 2015 год в части деятель</w:t>
      </w:r>
      <w:bookmarkStart w:id="0" w:name="_GoBack"/>
      <w:bookmarkEnd w:id="0"/>
      <w:r w:rsidRPr="005A6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ности главного администратора бюджетных средств 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6FF2" w:rsidRPr="000C6FF2">
        <w:rPr>
          <w:rFonts w:ascii="Times New Roman" w:eastAsia="Times New Roman" w:hAnsi="Times New Roman" w:cs="Times New Roman"/>
          <w:b/>
          <w:lang w:eastAsia="ru-RU"/>
        </w:rPr>
        <w:t>Управления социальной защиты населения  администрации Еткульского  му</w:t>
      </w:r>
      <w:r>
        <w:rPr>
          <w:rFonts w:ascii="Times New Roman" w:eastAsia="Times New Roman" w:hAnsi="Times New Roman" w:cs="Times New Roman"/>
          <w:b/>
          <w:lang w:eastAsia="ru-RU"/>
        </w:rPr>
        <w:t>ниципального  района</w:t>
      </w:r>
    </w:p>
    <w:p w:rsidR="000C6FF2" w:rsidRPr="000C6FF2" w:rsidRDefault="000C6FF2" w:rsidP="000C6FF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C6FF2" w:rsidRPr="002230E5" w:rsidRDefault="000C6FF2" w:rsidP="000C6FF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FF2" w:rsidRPr="002230E5" w:rsidRDefault="000C6FF2" w:rsidP="000C6FF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На основании статьи 264.4. Бюджетного  Кодекса  РФ,  распоряжения председателя контрольно-ревизионной комиссии  Еткульского муни</w:t>
      </w:r>
      <w:r w:rsidR="00F0710B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района  В.Г. Садовского</w:t>
      </w: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О внешней  проверке</w:t>
      </w:r>
      <w:r w:rsidR="00F0710B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бюджетной отчетности Еткульского муниципального района» </w:t>
      </w:r>
      <w:r w:rsidR="00F0710B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4-ОД от 08  февраля 2016года  старшим </w:t>
      </w: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бухгалтером-ревизором  контрольно-ревизионной комиссии Еткульского муниципального района Н.Ю. Трапезниковой подготовлено Заключение  по результатам внешней </w:t>
      </w:r>
      <w:proofErr w:type="gramStart"/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годовой бюджетной отчетности   Управления социальной защиты населения  администрации</w:t>
      </w:r>
      <w:proofErr w:type="gramEnd"/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Еткульского муниципального района  за 2015 год.</w:t>
      </w:r>
    </w:p>
    <w:p w:rsidR="00F0710B" w:rsidRPr="002230E5" w:rsidRDefault="00F0710B" w:rsidP="000C6FF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0B" w:rsidRDefault="00F0710B" w:rsidP="00F0710B">
      <w:pPr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0A2">
        <w:rPr>
          <w:rFonts w:ascii="Times New Roman" w:eastAsia="Times New Roman" w:hAnsi="Times New Roman" w:cs="Times New Roman"/>
          <w:b/>
          <w:sz w:val="24"/>
          <w:szCs w:val="24"/>
        </w:rPr>
        <w:t>Предмет проверки</w:t>
      </w:r>
      <w:r w:rsidRPr="00983F10">
        <w:rPr>
          <w:rFonts w:ascii="Times New Roman" w:eastAsia="Times New Roman" w:hAnsi="Times New Roman" w:cs="Times New Roman"/>
          <w:sz w:val="24"/>
          <w:szCs w:val="24"/>
        </w:rPr>
        <w:t>: годовая бюдж</w:t>
      </w:r>
      <w:r>
        <w:rPr>
          <w:rFonts w:ascii="Times New Roman" w:eastAsia="Times New Roman" w:hAnsi="Times New Roman" w:cs="Times New Roman"/>
          <w:sz w:val="24"/>
          <w:szCs w:val="24"/>
        </w:rPr>
        <w:t>етная отчётность   за 2015 год.</w:t>
      </w:r>
    </w:p>
    <w:p w:rsidR="00F0710B" w:rsidRDefault="00F0710B" w:rsidP="00F0710B">
      <w:pPr>
        <w:tabs>
          <w:tab w:val="left" w:pos="885"/>
          <w:tab w:val="left" w:pos="6165"/>
          <w:tab w:val="left" w:pos="6660"/>
          <w:tab w:val="right" w:pos="10205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70A2">
        <w:rPr>
          <w:rFonts w:ascii="Times New Roman" w:eastAsia="Times New Roman" w:hAnsi="Times New Roman" w:cs="Times New Roman"/>
          <w:b/>
          <w:sz w:val="24"/>
          <w:szCs w:val="24"/>
        </w:rPr>
        <w:t>Задачи проверки:</w:t>
      </w:r>
    </w:p>
    <w:p w:rsidR="002230E5" w:rsidRPr="000070A2" w:rsidRDefault="002230E5" w:rsidP="00F0710B">
      <w:pPr>
        <w:tabs>
          <w:tab w:val="left" w:pos="885"/>
          <w:tab w:val="left" w:pos="6165"/>
          <w:tab w:val="left" w:pos="6660"/>
          <w:tab w:val="right" w:pos="10205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10B" w:rsidRDefault="00F0710B" w:rsidP="00F0710B">
      <w:pPr>
        <w:tabs>
          <w:tab w:val="left" w:pos="885"/>
          <w:tab w:val="left" w:pos="6165"/>
          <w:tab w:val="left" w:pos="6660"/>
          <w:tab w:val="right" w:pos="10205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проверить состав и содержание форм годовой бюджетной отчётности за 2015 год;</w:t>
      </w:r>
    </w:p>
    <w:p w:rsidR="002230E5" w:rsidRPr="00983F10" w:rsidRDefault="002230E5" w:rsidP="00F0710B">
      <w:pPr>
        <w:tabs>
          <w:tab w:val="left" w:pos="885"/>
          <w:tab w:val="left" w:pos="6165"/>
          <w:tab w:val="left" w:pos="6660"/>
          <w:tab w:val="right" w:pos="10205"/>
        </w:tabs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0E5" w:rsidRDefault="00F0710B" w:rsidP="00F0710B">
      <w:pPr>
        <w:tabs>
          <w:tab w:val="left" w:pos="885"/>
          <w:tab w:val="left" w:pos="6165"/>
          <w:tab w:val="left" w:pos="6660"/>
          <w:tab w:val="right" w:pos="1020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</w:t>
      </w:r>
      <w:r w:rsidRPr="00983F10">
        <w:rPr>
          <w:rFonts w:ascii="Times New Roman" w:eastAsia="Times New Roman" w:hAnsi="Times New Roman" w:cs="Times New Roman"/>
          <w:sz w:val="24"/>
          <w:szCs w:val="24"/>
        </w:rPr>
        <w:t xml:space="preserve">установить своевременность и полноту исполнения расходных обязательств бюджета, </w:t>
      </w:r>
      <w:proofErr w:type="gramStart"/>
      <w:r w:rsidRPr="00983F1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F0710B" w:rsidRDefault="002230E5" w:rsidP="00F0710B">
      <w:pPr>
        <w:tabs>
          <w:tab w:val="left" w:pos="885"/>
          <w:tab w:val="left" w:pos="6165"/>
          <w:tab w:val="left" w:pos="6660"/>
          <w:tab w:val="right" w:pos="1020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0710B" w:rsidRPr="00983F10">
        <w:rPr>
          <w:rFonts w:ascii="Times New Roman" w:eastAsia="Times New Roman" w:hAnsi="Times New Roman" w:cs="Times New Roman"/>
          <w:sz w:val="24"/>
          <w:szCs w:val="24"/>
        </w:rPr>
        <w:t>том числе по исполнению программной части бюджета;</w:t>
      </w:r>
    </w:p>
    <w:p w:rsidR="002230E5" w:rsidRDefault="002230E5" w:rsidP="00F0710B">
      <w:pPr>
        <w:tabs>
          <w:tab w:val="left" w:pos="885"/>
          <w:tab w:val="left" w:pos="6165"/>
          <w:tab w:val="left" w:pos="6660"/>
          <w:tab w:val="right" w:pos="1020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10B" w:rsidRDefault="00F0710B" w:rsidP="00F0710B">
      <w:pPr>
        <w:tabs>
          <w:tab w:val="left" w:pos="885"/>
          <w:tab w:val="left" w:pos="6165"/>
          <w:tab w:val="left" w:pos="6660"/>
          <w:tab w:val="right" w:pos="1020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дать  оценку достоверности данных годового отчёта об исполнении бюджета  ГРБС за 2015г.</w:t>
      </w:r>
    </w:p>
    <w:p w:rsidR="00F0710B" w:rsidRPr="00983F10" w:rsidRDefault="00F0710B" w:rsidP="00F0710B">
      <w:pPr>
        <w:tabs>
          <w:tab w:val="left" w:pos="885"/>
          <w:tab w:val="left" w:pos="6165"/>
          <w:tab w:val="left" w:pos="6660"/>
          <w:tab w:val="right" w:pos="1020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710B" w:rsidRPr="00D90095" w:rsidRDefault="00F0710B" w:rsidP="00F0710B">
      <w:pPr>
        <w:tabs>
          <w:tab w:val="left" w:pos="885"/>
          <w:tab w:val="left" w:pos="6165"/>
          <w:tab w:val="left" w:pos="6660"/>
          <w:tab w:val="right" w:pos="1020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70A2">
        <w:rPr>
          <w:rFonts w:ascii="Times New Roman" w:eastAsia="Times New Roman" w:hAnsi="Times New Roman" w:cs="Times New Roman"/>
          <w:b/>
          <w:sz w:val="24"/>
          <w:szCs w:val="24"/>
        </w:rPr>
        <w:t>Форма проверки</w:t>
      </w:r>
      <w:r w:rsidRPr="00983F10">
        <w:rPr>
          <w:rFonts w:ascii="Times New Roman" w:eastAsia="Times New Roman" w:hAnsi="Times New Roman" w:cs="Times New Roman"/>
          <w:sz w:val="24"/>
          <w:szCs w:val="24"/>
        </w:rPr>
        <w:t>: каме</w:t>
      </w:r>
      <w:r>
        <w:rPr>
          <w:rFonts w:ascii="Times New Roman" w:eastAsia="Times New Roman" w:hAnsi="Times New Roman" w:cs="Times New Roman"/>
          <w:sz w:val="24"/>
          <w:szCs w:val="24"/>
        </w:rPr>
        <w:t>ральная. Проверка проводилась  с  01.03.</w:t>
      </w:r>
      <w:r w:rsidRPr="00983F10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83F10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 03. 03.</w:t>
      </w:r>
      <w:r w:rsidRPr="00D90095">
        <w:rPr>
          <w:rFonts w:ascii="Times New Roman" w:eastAsia="Times New Roman" w:hAnsi="Times New Roman" w:cs="Times New Roman"/>
          <w:sz w:val="24"/>
          <w:szCs w:val="24"/>
        </w:rPr>
        <w:t>2016г.</w:t>
      </w:r>
    </w:p>
    <w:p w:rsidR="00F0710B" w:rsidRPr="00867492" w:rsidRDefault="00F0710B" w:rsidP="00F0710B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0B" w:rsidRDefault="00F0710B" w:rsidP="00F0710B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 должностными лицами в проверяемом периоде являлись:</w:t>
      </w:r>
    </w:p>
    <w:p w:rsidR="00F0710B" w:rsidRPr="00867492" w:rsidRDefault="00F0710B" w:rsidP="00F0710B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0B" w:rsidRPr="002230E5" w:rsidRDefault="00F0710B" w:rsidP="00F0710B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367D2B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367D2B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="00367D2B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социальной защиты населения администрации Еткульского муниципального района – Л.А. </w:t>
      </w:r>
      <w:proofErr w:type="spellStart"/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Меньшенина</w:t>
      </w:r>
      <w:proofErr w:type="spellEnd"/>
      <w:proofErr w:type="gramStart"/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0710B" w:rsidRPr="002230E5" w:rsidRDefault="00F0710B" w:rsidP="00F0710B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0B" w:rsidRPr="002230E5" w:rsidRDefault="00F0710B" w:rsidP="00F0710B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бухгалтер Управления социальной защиты населения администрации  Еткульского муниципального района – В.Н. Безручко.</w:t>
      </w:r>
    </w:p>
    <w:p w:rsidR="002230E5" w:rsidRDefault="000C6FF2" w:rsidP="000C6FF2">
      <w:pPr>
        <w:tabs>
          <w:tab w:val="left" w:pos="1260"/>
          <w:tab w:val="left" w:pos="369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</w:p>
    <w:p w:rsidR="000C6FF2" w:rsidRPr="002230E5" w:rsidRDefault="002230E5" w:rsidP="000C6FF2">
      <w:pPr>
        <w:tabs>
          <w:tab w:val="left" w:pos="1260"/>
          <w:tab w:val="left" w:pos="369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0C6FF2" w:rsidRPr="00223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1.</w:t>
      </w:r>
      <w:r w:rsidR="000C6FF2" w:rsidRPr="00223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Общие положения</w:t>
      </w:r>
    </w:p>
    <w:p w:rsidR="000C6FF2" w:rsidRPr="002230E5" w:rsidRDefault="000C6FF2" w:rsidP="000C6FF2">
      <w:pPr>
        <w:tabs>
          <w:tab w:val="left" w:pos="1260"/>
          <w:tab w:val="left" w:pos="369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A5561B" w:rsidRPr="002230E5" w:rsidRDefault="002230E5" w:rsidP="00774803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C6FF2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социальной защиты населения  входит в единую структуру органов социальной защиты населения Челябинской области. </w:t>
      </w:r>
      <w:r w:rsidR="00A5561B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Учредителем  УСЗН является администрация Еткульского муниципального района. </w:t>
      </w:r>
      <w:r w:rsidR="000C6FF2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социальной защиты населения осуществляет свою деятельность на основании Положения «Об Управлении социальной защиты населения администрации Еткульского муниципального района» утв. Решением Собрания депутатов  Еткульского муниципального района  от 01.03.2006г. </w:t>
      </w:r>
      <w:proofErr w:type="gramStart"/>
      <w:r w:rsidR="000C6FF2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C6FF2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изм. От 31.01.2007г. № 235), учреждение является юридическим лицом</w:t>
      </w:r>
      <w:proofErr w:type="gramStart"/>
      <w:r w:rsidR="000C6FF2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C6FF2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в установленном порядке в МИФНС России №10 по Челябинской области   23.12.2002г. (краткое наименование УСЗН).  Управление социальной защиты населения  является  казенным учреждением </w:t>
      </w:r>
      <w:proofErr w:type="gramStart"/>
      <w:r w:rsidR="000C6FF2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C6FF2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района от 30.11.2010г. № 946), имеет самостоятельный баланс, гербовую печать, бланки со своим наименованием, в финансовом управлении открыт лицевой счет.</w:t>
      </w:r>
      <w:r w:rsidR="00A5561B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УСЗН в установленном порядке  зарегистрирован</w:t>
      </w:r>
      <w:r w:rsidR="00D67A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561B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поставлен</w:t>
      </w:r>
      <w:r w:rsidR="00D67A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5561B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учёт в налоговом органе</w:t>
      </w:r>
      <w:proofErr w:type="gramStart"/>
      <w:r w:rsidR="00A5561B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5561B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ОГРН: 1067430006236; ИНН:7430009463.</w:t>
      </w:r>
    </w:p>
    <w:p w:rsidR="00FB0E0A" w:rsidRPr="002230E5" w:rsidRDefault="000C6FF2" w:rsidP="000C6FF2">
      <w:pPr>
        <w:tabs>
          <w:tab w:val="left" w:pos="885"/>
          <w:tab w:val="left" w:pos="6165"/>
          <w:tab w:val="left" w:pos="6660"/>
          <w:tab w:val="right" w:pos="102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УСЗН  финансируются расходы</w:t>
      </w:r>
      <w:proofErr w:type="gramStart"/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реализацией Федеральных, Областных законов о социальной защите отдельных граждан </w:t>
      </w:r>
      <w:r w:rsidR="00FB0E0A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6FF2" w:rsidRPr="002230E5" w:rsidRDefault="000C6FF2" w:rsidP="000C6FF2">
      <w:pPr>
        <w:tabs>
          <w:tab w:val="left" w:pos="885"/>
          <w:tab w:val="left" w:pos="6165"/>
          <w:tab w:val="left" w:pos="6660"/>
          <w:tab w:val="right" w:pos="102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 Еткульского муниципального района от 25.01.2012г. № 61 Управлению соц. защиты населения переданы  функции и полномочия учредителя  бюджетного учреждения  МУ «КЦСОН» Етку</w:t>
      </w:r>
      <w:r w:rsidR="00FB0E0A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льского муниципального района. С муниципальным учреждением  «КЦСОН»  заключено </w:t>
      </w: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« О предоставлении  из районного бюджета субсидий   муниципальному бюджетному учреждению на </w:t>
      </w:r>
      <w:r w:rsidR="00774803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2015год»  от 01.01.2015</w:t>
      </w: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proofErr w:type="gramStart"/>
      <w:r w:rsidR="00FB0E0A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B0E0A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которого является  :  Учреждению предоставлять  муниципальные услуги в соответствии с муниципальным заданием, а Учредителю осущес</w:t>
      </w:r>
      <w:r w:rsidR="00367D2B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твлять финансовое обеспечение на</w:t>
      </w:r>
      <w:r w:rsidR="00FB0E0A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 установ</w:t>
      </w:r>
      <w:r w:rsidR="007B770F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ленного задания в виде субсидий </w:t>
      </w:r>
      <w:proofErr w:type="gramStart"/>
      <w:r w:rsidR="007B770F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7B770F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отражено в ф. 0503162).</w:t>
      </w:r>
    </w:p>
    <w:p w:rsidR="000C6FF2" w:rsidRPr="002230E5" w:rsidRDefault="000C6FF2" w:rsidP="00D67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основании  Постановления  администрации Еткульского муниципального района от 07.02.2012г. № 97 «О</w:t>
      </w:r>
      <w:r w:rsidR="00D6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перечнях главных распорядителей и получателей </w:t>
      </w: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 » УСЗН  является  Главным распорядителем  бюджетных средств (ГРБС)</w:t>
      </w:r>
      <w:r w:rsidR="00367D2B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Получателем  бюджетных средств</w:t>
      </w:r>
      <w:proofErr w:type="gramStart"/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D6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B770F" w:rsidRPr="002230E5" w:rsidRDefault="000C6FF2" w:rsidP="000C6FF2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>-МУ «Комплексный центр социального обслуживания населения»</w:t>
      </w:r>
      <w:r w:rsidR="00D67AE1">
        <w:rPr>
          <w:rFonts w:ascii="Times New Roman" w:eastAsia="Times New Roman" w:hAnsi="Times New Roman" w:cs="Times New Roman"/>
          <w:sz w:val="24"/>
          <w:szCs w:val="24"/>
          <w:lang w:eastAsia="ru-RU"/>
        </w:rPr>
        <w:t>. Является  подведомственным  учреждением и получателем бюджетных средств.</w:t>
      </w:r>
    </w:p>
    <w:p w:rsidR="000C6FF2" w:rsidRDefault="000C6FF2" w:rsidP="000C6FF2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Внешняя проверка  годового отчет</w:t>
      </w:r>
      <w:r w:rsidR="007B770F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>а «Об исполнении бюджета за 2015</w:t>
      </w: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  проводилась по  принципу  существенности  и включала в себя анализ, сопоставление и оценку годовой бюджетной </w:t>
      </w:r>
      <w:proofErr w:type="gramStart"/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 Управления социальной защиты населения  администрации</w:t>
      </w:r>
      <w:proofErr w:type="gramEnd"/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Еткульского муниципального района об исполнении бюд</w:t>
      </w:r>
      <w:r w:rsidR="007B770F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 и других материалов за 2015</w:t>
      </w: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  </w:t>
      </w:r>
    </w:p>
    <w:p w:rsidR="00D67AE1" w:rsidRPr="002230E5" w:rsidRDefault="00D67AE1" w:rsidP="000C6FF2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FF2" w:rsidRPr="000C6FF2" w:rsidRDefault="000C6FF2" w:rsidP="000C6FF2">
      <w:pPr>
        <w:tabs>
          <w:tab w:val="left" w:pos="129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6FF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</w:p>
    <w:p w:rsidR="007B770F" w:rsidRPr="00867492" w:rsidRDefault="007B770F" w:rsidP="007B770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Состав</w:t>
      </w:r>
      <w:proofErr w:type="gramStart"/>
      <w:r w:rsidRPr="0086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86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 и  сроки  предоставления</w:t>
      </w:r>
    </w:p>
    <w:p w:rsidR="007B770F" w:rsidRPr="00867492" w:rsidRDefault="007B770F" w:rsidP="007B770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бюджетной  отчетности</w:t>
      </w:r>
    </w:p>
    <w:p w:rsidR="007B770F" w:rsidRPr="00867492" w:rsidRDefault="007B770F" w:rsidP="007B770F">
      <w:pPr>
        <w:tabs>
          <w:tab w:val="left" w:pos="1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0F" w:rsidRPr="00867492" w:rsidRDefault="007B770F" w:rsidP="007B770F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Годовая  отчетность  представлена  в контрольно-ревизионную комиссию  в установленный срок и в полном объёме. Годовая отчетность  соответст</w:t>
      </w:r>
      <w:r w:rsidR="00FA46B0">
        <w:rPr>
          <w:rFonts w:ascii="Times New Roman" w:eastAsia="Times New Roman" w:hAnsi="Times New Roman" w:cs="Times New Roman"/>
          <w:sz w:val="24"/>
          <w:szCs w:val="24"/>
          <w:lang w:eastAsia="ru-RU"/>
        </w:rPr>
        <w:t>вует требованиям</w:t>
      </w:r>
      <w:proofErr w:type="gramStart"/>
      <w:r w:rsidR="00FA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A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обозначенным</w:t>
      </w:r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Инструкцией  «О порядке составления и представления годовой, квартальной и месячной отчетности об исполнении бюджетов бюджетной системы РФ», утв. пр. Минфина РФ от 28.12.2</w:t>
      </w:r>
      <w:r w:rsidR="0036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010 г.  №191н от 26.10.2012г. </w:t>
      </w:r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 о порядке составления</w:t>
      </w:r>
      <w:proofErr w:type="gramStart"/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годовой, квартальной бухгалтерской отчетности  государственных (муниципальных) бюджетных и автономных учреждений , утв. пр. Минфина РФ от 25.03.2011г. № 33н</w:t>
      </w:r>
      <w:r w:rsidR="00D67AE1">
        <w:rPr>
          <w:rFonts w:ascii="Times New Roman" w:eastAsia="Times New Roman" w:hAnsi="Times New Roman" w:cs="Times New Roman"/>
          <w:sz w:val="24"/>
          <w:szCs w:val="24"/>
          <w:lang w:eastAsia="ru-RU"/>
        </w:rPr>
        <w:t>.  П</w:t>
      </w:r>
      <w:r w:rsidRPr="00867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оказатели бюджетной отчетности  достоверны.   </w:t>
      </w:r>
    </w:p>
    <w:p w:rsidR="007B770F" w:rsidRPr="007B770F" w:rsidRDefault="007B770F" w:rsidP="007B77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770F" w:rsidRPr="007B770F" w:rsidRDefault="007B770F" w:rsidP="007B7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770F">
        <w:rPr>
          <w:rFonts w:ascii="Times New Roman" w:eastAsia="Times New Roman" w:hAnsi="Times New Roman" w:cs="Times New Roman"/>
          <w:b/>
          <w:lang w:eastAsia="ru-RU"/>
        </w:rPr>
        <w:t xml:space="preserve">3. Организация  ведомственного финансового </w:t>
      </w:r>
      <w:proofErr w:type="gramStart"/>
      <w:r w:rsidRPr="007B770F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7B770F">
        <w:rPr>
          <w:rFonts w:ascii="Times New Roman" w:eastAsia="Times New Roman" w:hAnsi="Times New Roman" w:cs="Times New Roman"/>
          <w:b/>
          <w:lang w:eastAsia="ru-RU"/>
        </w:rPr>
        <w:t xml:space="preserve"> использованием </w:t>
      </w:r>
    </w:p>
    <w:p w:rsidR="007B770F" w:rsidRPr="007B770F" w:rsidRDefault="007B770F" w:rsidP="007B7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B770F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средств.  Проведение  инвентаризации имущества и денежных обязательств,</w:t>
      </w:r>
    </w:p>
    <w:p w:rsidR="007B770F" w:rsidRPr="007B770F" w:rsidRDefault="007B770F" w:rsidP="007B770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770F">
        <w:rPr>
          <w:rFonts w:ascii="Times New Roman" w:eastAsia="Times New Roman" w:hAnsi="Times New Roman" w:cs="Times New Roman"/>
          <w:b/>
          <w:lang w:eastAsia="ru-RU"/>
        </w:rPr>
        <w:t xml:space="preserve"> результаты инвентаризации</w:t>
      </w:r>
    </w:p>
    <w:p w:rsidR="007B770F" w:rsidRPr="002230E5" w:rsidRDefault="007B770F" w:rsidP="007B7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0F" w:rsidRPr="002230E5" w:rsidRDefault="007B770F" w:rsidP="007B7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со ст. 158  БК РФ, в УСЗН  организован и проводился  ведомственный финансовый контроль в сфере деятельности</w:t>
      </w:r>
      <w:proofErr w:type="gramStart"/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бухгалтерией УСЗН  ежемесячно</w:t>
      </w:r>
      <w:r w:rsidR="00367D2B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том числе перед составлением квартальной и годовой отчётности </w:t>
      </w: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проводятся  сверки по расчетам  ( по всем выплатам соц. пособий, компенсаций</w:t>
      </w:r>
      <w:r w:rsidR="00367D2B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гражданам, имеющим право на ту или иную выплату с ФГУП «Почта России», </w:t>
      </w: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ОСБ о</w:t>
      </w:r>
      <w:r w:rsidR="00367D2B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тд. №8597 </w:t>
      </w: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ежеквартально проводятся  сверки по расчетам  по выплатам  за коммунальные услуги с поставщиками  коммунальных услуг. В течение  отчетного периода</w:t>
      </w:r>
      <w:r w:rsidR="00A5561B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проводились  внезапные ревизии  денежной наличности  в кассе учреждения и внезапные ревизии  наличности бланков строгой отчетности</w:t>
      </w:r>
      <w:r w:rsidR="00A5561B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A5561B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A5561B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акты:  от  31.03.2015г., от 30.06.2015г., от 30.09.2015г., от 32.12.2015г.). </w:t>
      </w:r>
    </w:p>
    <w:p w:rsidR="007B770F" w:rsidRPr="002230E5" w:rsidRDefault="007B770F" w:rsidP="007B7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Перед состав</w:t>
      </w:r>
      <w:r w:rsidR="00603C93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  годового отчета  за 2015</w:t>
      </w: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proofErr w:type="gramStart"/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 прика</w:t>
      </w:r>
      <w:r w:rsidR="00603C93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начальника УСЗН от 31.12.2015</w:t>
      </w: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603C93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60-общ</w:t>
      </w: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0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бухгалтерией  управления была проведена  инвентаризация нефинансовых активов, расчетов с поставщиками и подрядчиками , денежных средств, бланков строгой отчетности ,</w:t>
      </w:r>
      <w:r w:rsidR="00BE31F9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данным таблицы № 6 ф. 0503160 «Сведения о проведении инвентаризации» в результате инвентаризации  не установлено недостачи ( хищений), излишков , материальных ценностей и денежных средств.             </w:t>
      </w:r>
    </w:p>
    <w:p w:rsidR="007B770F" w:rsidRDefault="007B770F" w:rsidP="007B7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УСЗН   руководствуются Положением  о финансовом контроле</w:t>
      </w:r>
      <w:proofErr w:type="gramStart"/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утв. приказом начальника  управления   </w:t>
      </w:r>
      <w:r w:rsidR="00F81350"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31.12.2014г. № 39-общ</w:t>
      </w:r>
      <w:r w:rsidRP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>.,  который определяет порядок проведения и оформления актов  ревизий , проверок , механизм реализации материалов  проверок и контроля  за устранением нарушений.</w:t>
      </w:r>
    </w:p>
    <w:p w:rsidR="002230E5" w:rsidRPr="002230E5" w:rsidRDefault="002230E5" w:rsidP="007B7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70F" w:rsidRDefault="002230E5" w:rsidP="007B7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B770F" w:rsidRPr="007B770F">
        <w:rPr>
          <w:rFonts w:ascii="Times New Roman" w:eastAsia="Times New Roman" w:hAnsi="Times New Roman" w:cs="Times New Roman"/>
          <w:b/>
          <w:lang w:eastAsia="ru-RU"/>
        </w:rPr>
        <w:t xml:space="preserve">           4.</w:t>
      </w:r>
      <w:r w:rsidR="007B770F" w:rsidRPr="007B77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770F" w:rsidRPr="007B770F">
        <w:rPr>
          <w:rFonts w:ascii="Times New Roman" w:eastAsia="Times New Roman" w:hAnsi="Times New Roman" w:cs="Times New Roman"/>
          <w:b/>
          <w:lang w:eastAsia="ru-RU"/>
        </w:rPr>
        <w:t>Организация  бюджетного учета</w:t>
      </w:r>
    </w:p>
    <w:p w:rsidR="005B40D1" w:rsidRPr="007B770F" w:rsidRDefault="005B40D1" w:rsidP="007B7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74803" w:rsidRDefault="002230E5" w:rsidP="0077480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74803"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 требованиями  Федерального Закона РФ от 06 декабря 2011г. № 402-ФЗ «О бухгалтерском учете», приказом МФ № 157 от 01.12.2010г. «Об утверждении единого плана счетов бух</w:t>
      </w:r>
      <w:proofErr w:type="gramStart"/>
      <w:r w:rsidR="0060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803"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74803"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учета, приказом МФ от 06.12. 2010г. № 162 «Об утверждении плана счетов бюджетного учета и  инструкции по его применению  в учреждении разработано  и  утверждено  </w:t>
      </w:r>
      <w:r w:rsidR="007748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учетной политике 26.03.2013г.  № 4 – общ</w:t>
      </w:r>
      <w:r w:rsidR="00774803"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4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№ 62-общ от 31.12.2014г были внесены изменения в учётную политику, которые применяются при формировании показателей объектов учёта с 01.01.2015г.</w:t>
      </w:r>
      <w:r w:rsidR="0060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 применением  в последующие годы. Согласно учётной политики УСЗН  основные средства отражаются в бюджетном учёте по первоначальной стоимости, материальные запасы по  фактической стоимости </w:t>
      </w:r>
      <w:proofErr w:type="gramStart"/>
      <w:r w:rsidR="00603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603C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отражено в таб. №4)</w:t>
      </w:r>
      <w:r w:rsidR="00AD1D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D5F" w:rsidRPr="005B40D1" w:rsidRDefault="002230E5" w:rsidP="0077480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D1D5F" w:rsidRPr="005B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Бюджетный учет  ГАБС  ведется  по утвержденной смете  расходов  в разрезе  кодов  бюджетной классификации, утв.  Приказом  Минфина РФ от 21.12.2012г.№ 171 н  «Об утверждении  указаний  о порядке применения  бюджетной классификации  РФ»,  с применением  регистров  учета  в соответствии  с приказом  руководителя об учетной политике в учреждении</w:t>
      </w:r>
      <w:proofErr w:type="gramStart"/>
      <w:r w:rsidR="00AD1D5F" w:rsidRPr="005B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AD1D5F" w:rsidRPr="005B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Приказом утвержден  план счетов бюджетного учета, график документооборота, периодичность формирования регистров бюджетного учета на бумажных </w:t>
      </w:r>
      <w:proofErr w:type="gramStart"/>
      <w:r w:rsidR="00AD1D5F" w:rsidRPr="005B4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носителях, утверждены формы первичных учетных документов, применяемых для оформления хозяйственных операций, а также формы документов для внутренней бухгалтерской  отчетности.</w:t>
      </w:r>
      <w:proofErr w:type="gramEnd"/>
    </w:p>
    <w:p w:rsidR="00603C93" w:rsidRDefault="00603C93" w:rsidP="00603C9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 со ст. 242 Бюджетного кодекса Российской Федерации и приказом  Финансового управления  администрации  Еткульского муниципального района </w:t>
      </w:r>
      <w:r w:rsidR="00684A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02.12.2015г. № 16</w:t>
      </w:r>
      <w:r w:rsidRPr="00710710">
        <w:rPr>
          <w:rFonts w:ascii="Times New Roman" w:eastAsia="Times New Roman" w:hAnsi="Times New Roman" w:cs="Times New Roman"/>
          <w:sz w:val="24"/>
          <w:szCs w:val="24"/>
          <w:lang w:eastAsia="ru-RU"/>
        </w:rPr>
        <w:t>-од  «Об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Порядка завершения операций по исполнению районного бюджета в текущем финансовом году»  завершены операции  по исполнению сметы в текущем  финансовом году.</w:t>
      </w:r>
    </w:p>
    <w:p w:rsidR="00E01C21" w:rsidRDefault="00E01C21" w:rsidP="00603C9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70" w:rsidRPr="000B4D70" w:rsidRDefault="002B6978" w:rsidP="000B4D70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5.</w:t>
      </w:r>
      <w:r w:rsidR="000B4D70" w:rsidRPr="000B4D70">
        <w:rPr>
          <w:rFonts w:ascii="Times New Roman" w:eastAsia="Times New Roman" w:hAnsi="Times New Roman" w:cs="Times New Roman"/>
          <w:b/>
          <w:lang w:eastAsia="ru-RU"/>
        </w:rPr>
        <w:t xml:space="preserve"> Правомерность  составления  бюджетной  росписи,</w:t>
      </w:r>
    </w:p>
    <w:p w:rsidR="000B4D70" w:rsidRPr="000B4D70" w:rsidRDefault="000B4D70" w:rsidP="000B4D70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4D70">
        <w:rPr>
          <w:rFonts w:ascii="Times New Roman" w:eastAsia="Times New Roman" w:hAnsi="Times New Roman" w:cs="Times New Roman"/>
          <w:b/>
          <w:lang w:eastAsia="ru-RU"/>
        </w:rPr>
        <w:t>Доведение лимитов бюджетных обязательств и плановых</w:t>
      </w:r>
    </w:p>
    <w:p w:rsidR="000B4D70" w:rsidRPr="005B40D1" w:rsidRDefault="000B4D70" w:rsidP="000B4D70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40D1">
        <w:rPr>
          <w:rFonts w:ascii="Times New Roman" w:eastAsia="Times New Roman" w:hAnsi="Times New Roman" w:cs="Times New Roman"/>
          <w:b/>
          <w:lang w:eastAsia="ru-RU"/>
        </w:rPr>
        <w:t>назначений по доходам.</w:t>
      </w:r>
    </w:p>
    <w:p w:rsidR="000B4D70" w:rsidRPr="005B40D1" w:rsidRDefault="000B4D70" w:rsidP="000B4D70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B4D70" w:rsidRPr="00BE31F9" w:rsidRDefault="005B40D1" w:rsidP="000B4D70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B4D70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Финансово-хозяйственн</w:t>
      </w:r>
      <w:r w:rsidR="005A285F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деятельность Управления  социальной</w:t>
      </w:r>
      <w:r w:rsidR="000B4D70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населения осуществляется в соответствии с утверждённой сметой расходов на 2015 год.   Составление и ведение бюджетной росписи ГАБС производилось в соответствии со ст. 219.1 БК РФ</w:t>
      </w:r>
      <w:r w:rsidR="005A285F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4D70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4D70" w:rsidRPr="00BE31F9" w:rsidRDefault="005B40D1" w:rsidP="000B4D7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B4D70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УСЗН составлена  сводная бюджетная роспись расходов и сводный реестр лимитов бюджетных обязательств</w:t>
      </w:r>
      <w:proofErr w:type="gramStart"/>
      <w:r w:rsidR="000B4D70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0B4D70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Сводная  роспись расходов утверждена на  2015 год  в разрезе  ГРБС, разделов, подразделов , целевых статей, видов расходов .</w:t>
      </w:r>
    </w:p>
    <w:p w:rsidR="000B4D70" w:rsidRPr="00BE31F9" w:rsidRDefault="005B40D1" w:rsidP="000B4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B4D70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Первоначально, Решением Собрания депутатов Еткульского муниципального района</w:t>
      </w:r>
      <w:r w:rsidR="000E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610 от 24.12.2014г. </w:t>
      </w:r>
      <w:r w:rsidR="000B4D70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УСЗН  были доведены бюджетные ассигнования  и  лимиты бюджетных  об</w:t>
      </w:r>
      <w:r w:rsidR="009412E6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язательств в сумме  </w:t>
      </w:r>
      <w:r w:rsidR="00E01C21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>146352,2 тыс.</w:t>
      </w:r>
      <w:r w:rsidR="009412E6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proofErr w:type="gramStart"/>
      <w:r w:rsidR="009412E6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0B4D70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350" w:rsidRPr="00BE31F9" w:rsidRDefault="005B40D1" w:rsidP="000B4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B4D70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85F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proofErr w:type="gramStart"/>
      <w:r w:rsidR="005A285F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5A285F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="000B4D70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A285F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первоначальное решение от 24.12.2014г. № 610</w:t>
      </w:r>
      <w:r w:rsidR="000B4D70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 бюджете Еткульского муниципал</w:t>
      </w:r>
      <w:r w:rsidR="005A285F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на 2015</w:t>
      </w:r>
      <w:r w:rsidR="000B4D70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A285F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плановый период 2016 и 2017</w:t>
      </w:r>
      <w:r w:rsidR="000B4D70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4D70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0B4D70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>.»  вносились изменения (</w:t>
      </w:r>
      <w:r w:rsidR="005A285F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изменений в Закон Челябинской области об областном бюджете на 2015 год и  плановый период  2016 и 201</w:t>
      </w:r>
      <w:r w:rsidR="00D67AE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A285F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( апрель, май, июнь, июль, декабрь)</w:t>
      </w:r>
      <w:r w:rsidR="000B4D70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результате, с учетом изменений, решением Собрания депутатов  Еткульского муниципального района от </w:t>
      </w:r>
      <w:r w:rsidR="00F81350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31.12.2015</w:t>
      </w:r>
      <w:r w:rsidR="000B4D70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F81350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0B4D70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,бюджетные ассигнования  окончательно были  утверждены и приняты к исполнению в су</w:t>
      </w:r>
      <w:r w:rsidR="00F81350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>мме 145082,7</w:t>
      </w:r>
      <w:r w:rsidR="000B4D70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F81350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D70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что подтверждено ф. № 0503128  Отчет о принятых бюджетных  обязательствах  и   ф.0503163 Сведения об изменениях бюджетной росписи ГРБС. </w:t>
      </w:r>
      <w:r w:rsidR="00E01C21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утверждённых  ассигнований</w:t>
      </w:r>
      <w:proofErr w:type="gramStart"/>
      <w:r w:rsidR="00E01C21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01C21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 первоначальным объёмом  уменьшился на 1269,5 тыс. рублей ( 0,9%).</w:t>
      </w:r>
    </w:p>
    <w:p w:rsidR="00F81350" w:rsidRPr="00BE31F9" w:rsidRDefault="000B4D70" w:rsidP="00F813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F3D3F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350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  ассигнований</w:t>
      </w:r>
      <w:proofErr w:type="gramStart"/>
      <w:r w:rsidR="00F81350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F81350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источникам финансирования ,  основную долю 75% составляют  ассигнования из средств областного бюджета , 23%  составляют ассигнования из средств федерального бюджета ,   2%  сост</w:t>
      </w:r>
      <w:r w:rsidR="000F3D3F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81350" w:rsidRP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вляют ассигнования местного бюджета. </w:t>
      </w:r>
    </w:p>
    <w:p w:rsidR="000B4D70" w:rsidRDefault="00F81350" w:rsidP="000F3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1350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F3D3F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F813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4D70" w:rsidRPr="000B4D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4D70" w:rsidRPr="000B4D70">
        <w:rPr>
          <w:rFonts w:ascii="Times New Roman" w:eastAsia="Times New Roman" w:hAnsi="Times New Roman" w:cs="Times New Roman"/>
          <w:b/>
          <w:lang w:eastAsia="ru-RU"/>
        </w:rPr>
        <w:t>Основные характеристики  исполнения сметы</w:t>
      </w:r>
    </w:p>
    <w:p w:rsidR="000B4D70" w:rsidRPr="002B6978" w:rsidRDefault="005B40D1" w:rsidP="000B4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  <w:r w:rsidR="000B4D70" w:rsidRPr="002B6978">
        <w:rPr>
          <w:rFonts w:ascii="Times New Roman" w:eastAsia="Times New Roman" w:hAnsi="Times New Roman" w:cs="Times New Roman"/>
          <w:sz w:val="18"/>
          <w:szCs w:val="18"/>
          <w:lang w:eastAsia="ru-RU"/>
        </w:rPr>
        <w:t>( в разрезе  по  источникам  финансирования)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таблица № 1</w:t>
      </w:r>
    </w:p>
    <w:tbl>
      <w:tblPr>
        <w:tblStyle w:val="a9"/>
        <w:tblW w:w="9214" w:type="dxa"/>
        <w:tblInd w:w="108" w:type="dxa"/>
        <w:tblLook w:val="01E0" w:firstRow="1" w:lastRow="1" w:firstColumn="1" w:lastColumn="1" w:noHBand="0" w:noVBand="0"/>
      </w:tblPr>
      <w:tblGrid>
        <w:gridCol w:w="2694"/>
        <w:gridCol w:w="1842"/>
        <w:gridCol w:w="2127"/>
        <w:gridCol w:w="1275"/>
        <w:gridCol w:w="1276"/>
      </w:tblGrid>
      <w:tr w:rsidR="009412E6" w:rsidRPr="000B4D70" w:rsidTr="009412E6">
        <w:tc>
          <w:tcPr>
            <w:tcW w:w="2694" w:type="dxa"/>
          </w:tcPr>
          <w:p w:rsidR="009412E6" w:rsidRPr="000B4D70" w:rsidRDefault="009412E6" w:rsidP="000B4D70">
            <w:pPr>
              <w:jc w:val="center"/>
            </w:pPr>
          </w:p>
          <w:p w:rsidR="009412E6" w:rsidRPr="000B4D70" w:rsidRDefault="009412E6" w:rsidP="000B4D70">
            <w:pPr>
              <w:jc w:val="center"/>
            </w:pPr>
            <w:r w:rsidRPr="000B4D70">
              <w:t>источники</w:t>
            </w:r>
          </w:p>
        </w:tc>
        <w:tc>
          <w:tcPr>
            <w:tcW w:w="1842" w:type="dxa"/>
          </w:tcPr>
          <w:p w:rsidR="009412E6" w:rsidRPr="000B4D70" w:rsidRDefault="009412E6" w:rsidP="000B4D70">
            <w:pPr>
              <w:jc w:val="center"/>
            </w:pPr>
            <w:r w:rsidRPr="000B4D70">
              <w:t>Первоначальн</w:t>
            </w:r>
            <w:r>
              <w:t>ые</w:t>
            </w:r>
          </w:p>
          <w:p w:rsidR="009412E6" w:rsidRPr="000B4D70" w:rsidRDefault="009412E6" w:rsidP="000B4D70">
            <w:pPr>
              <w:jc w:val="center"/>
            </w:pPr>
            <w:r w:rsidRPr="000B4D70">
              <w:t>ассигнования</w:t>
            </w:r>
          </w:p>
          <w:p w:rsidR="009412E6" w:rsidRPr="000B4D70" w:rsidRDefault="009412E6" w:rsidP="009412E6">
            <w:pPr>
              <w:jc w:val="center"/>
            </w:pPr>
            <w:r w:rsidRPr="000B4D70">
              <w:t>на 201</w:t>
            </w:r>
            <w:r>
              <w:t>5</w:t>
            </w:r>
            <w:r w:rsidRPr="000B4D70">
              <w:t>г.</w:t>
            </w:r>
          </w:p>
        </w:tc>
        <w:tc>
          <w:tcPr>
            <w:tcW w:w="2127" w:type="dxa"/>
          </w:tcPr>
          <w:p w:rsidR="000F3D3F" w:rsidRDefault="000F3D3F" w:rsidP="000B4D70">
            <w:pPr>
              <w:jc w:val="center"/>
            </w:pPr>
            <w:r>
              <w:t>Утверждённые</w:t>
            </w:r>
          </w:p>
          <w:p w:rsidR="009412E6" w:rsidRPr="000B4D70" w:rsidRDefault="009412E6" w:rsidP="000B4D70">
            <w:pPr>
              <w:jc w:val="center"/>
            </w:pPr>
            <w:r w:rsidRPr="000B4D70">
              <w:t>ассигнования</w:t>
            </w:r>
          </w:p>
          <w:p w:rsidR="009412E6" w:rsidRPr="000B4D70" w:rsidRDefault="009412E6" w:rsidP="000B4D70">
            <w:pPr>
              <w:jc w:val="center"/>
            </w:pPr>
            <w:r>
              <w:t>на 2015</w:t>
            </w:r>
            <w:r w:rsidRPr="000B4D70">
              <w:t>г.</w:t>
            </w:r>
          </w:p>
        </w:tc>
        <w:tc>
          <w:tcPr>
            <w:tcW w:w="1275" w:type="dxa"/>
          </w:tcPr>
          <w:p w:rsidR="009412E6" w:rsidRDefault="009412E6" w:rsidP="009412E6">
            <w:pPr>
              <w:jc w:val="center"/>
            </w:pPr>
          </w:p>
          <w:p w:rsidR="009412E6" w:rsidRPr="000B4D70" w:rsidRDefault="009412E6" w:rsidP="009412E6">
            <w:pPr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9412E6" w:rsidRDefault="009412E6" w:rsidP="009412E6">
            <w:pPr>
              <w:jc w:val="center"/>
            </w:pPr>
            <w:r>
              <w:t>Отклонения</w:t>
            </w:r>
          </w:p>
          <w:p w:rsidR="009412E6" w:rsidRPr="000B4D70" w:rsidRDefault="009412E6" w:rsidP="009412E6">
            <w:pPr>
              <w:jc w:val="center"/>
            </w:pPr>
            <w:r>
              <w:t>+/-</w:t>
            </w:r>
          </w:p>
        </w:tc>
      </w:tr>
      <w:tr w:rsidR="009412E6" w:rsidRPr="000B4D70" w:rsidTr="009412E6">
        <w:tc>
          <w:tcPr>
            <w:tcW w:w="2694" w:type="dxa"/>
          </w:tcPr>
          <w:p w:rsidR="009412E6" w:rsidRPr="000B4D70" w:rsidRDefault="009412E6" w:rsidP="000B4D70">
            <w:r w:rsidRPr="000B4D70">
              <w:t xml:space="preserve">Областной бюджет </w:t>
            </w:r>
          </w:p>
        </w:tc>
        <w:tc>
          <w:tcPr>
            <w:tcW w:w="1842" w:type="dxa"/>
          </w:tcPr>
          <w:p w:rsidR="009412E6" w:rsidRPr="000B4D70" w:rsidRDefault="009412E6" w:rsidP="000B4D70">
            <w:pPr>
              <w:jc w:val="center"/>
            </w:pPr>
            <w:r>
              <w:t>108 914,5</w:t>
            </w:r>
          </w:p>
        </w:tc>
        <w:tc>
          <w:tcPr>
            <w:tcW w:w="2127" w:type="dxa"/>
          </w:tcPr>
          <w:p w:rsidR="009412E6" w:rsidRPr="000B4D70" w:rsidRDefault="001F1831" w:rsidP="000B4D70">
            <w:pPr>
              <w:jc w:val="center"/>
            </w:pPr>
            <w:r>
              <w:t>109 117,7</w:t>
            </w:r>
          </w:p>
        </w:tc>
        <w:tc>
          <w:tcPr>
            <w:tcW w:w="1275" w:type="dxa"/>
          </w:tcPr>
          <w:p w:rsidR="009412E6" w:rsidRPr="000B4D70" w:rsidRDefault="001F1831" w:rsidP="000B4D70">
            <w:pPr>
              <w:jc w:val="center"/>
            </w:pPr>
            <w:r>
              <w:t>100,1</w:t>
            </w:r>
          </w:p>
        </w:tc>
        <w:tc>
          <w:tcPr>
            <w:tcW w:w="1276" w:type="dxa"/>
          </w:tcPr>
          <w:p w:rsidR="009412E6" w:rsidRPr="000B4D70" w:rsidRDefault="001F1831" w:rsidP="000B4D70">
            <w:pPr>
              <w:jc w:val="center"/>
            </w:pPr>
            <w:r>
              <w:t>+203,2</w:t>
            </w:r>
          </w:p>
        </w:tc>
      </w:tr>
      <w:tr w:rsidR="009412E6" w:rsidRPr="000B4D70" w:rsidTr="009412E6">
        <w:tc>
          <w:tcPr>
            <w:tcW w:w="2694" w:type="dxa"/>
          </w:tcPr>
          <w:p w:rsidR="009412E6" w:rsidRPr="000B4D70" w:rsidRDefault="009412E6" w:rsidP="000B4D70">
            <w:r w:rsidRPr="000B4D70">
              <w:t>Федеральный бюджет</w:t>
            </w:r>
          </w:p>
        </w:tc>
        <w:tc>
          <w:tcPr>
            <w:tcW w:w="1842" w:type="dxa"/>
          </w:tcPr>
          <w:p w:rsidR="009412E6" w:rsidRPr="000B4D70" w:rsidRDefault="009412E6" w:rsidP="000B4D70">
            <w:pPr>
              <w:jc w:val="center"/>
            </w:pPr>
            <w:r>
              <w:t>36 465,2</w:t>
            </w:r>
          </w:p>
        </w:tc>
        <w:tc>
          <w:tcPr>
            <w:tcW w:w="2127" w:type="dxa"/>
          </w:tcPr>
          <w:p w:rsidR="009412E6" w:rsidRPr="000B4D70" w:rsidRDefault="009412E6" w:rsidP="000B4D70">
            <w:pPr>
              <w:jc w:val="center"/>
            </w:pPr>
            <w:r>
              <w:t>33 973,1</w:t>
            </w:r>
          </w:p>
        </w:tc>
        <w:tc>
          <w:tcPr>
            <w:tcW w:w="1275" w:type="dxa"/>
          </w:tcPr>
          <w:p w:rsidR="009412E6" w:rsidRPr="000B4D70" w:rsidRDefault="009412E6" w:rsidP="000B4D70">
            <w:pPr>
              <w:jc w:val="center"/>
            </w:pPr>
            <w:r>
              <w:t>93</w:t>
            </w:r>
          </w:p>
        </w:tc>
        <w:tc>
          <w:tcPr>
            <w:tcW w:w="1276" w:type="dxa"/>
          </w:tcPr>
          <w:p w:rsidR="009412E6" w:rsidRPr="000B4D70" w:rsidRDefault="009412E6" w:rsidP="000B4D70">
            <w:pPr>
              <w:jc w:val="center"/>
            </w:pPr>
            <w:r>
              <w:t>-2492,1</w:t>
            </w:r>
          </w:p>
        </w:tc>
      </w:tr>
      <w:tr w:rsidR="009412E6" w:rsidRPr="000B4D70" w:rsidTr="009412E6">
        <w:tc>
          <w:tcPr>
            <w:tcW w:w="2694" w:type="dxa"/>
          </w:tcPr>
          <w:p w:rsidR="009412E6" w:rsidRPr="000B4D70" w:rsidRDefault="009412E6" w:rsidP="000B4D70">
            <w:r w:rsidRPr="000B4D70">
              <w:t>Местный бюджет</w:t>
            </w:r>
          </w:p>
        </w:tc>
        <w:tc>
          <w:tcPr>
            <w:tcW w:w="1842" w:type="dxa"/>
          </w:tcPr>
          <w:p w:rsidR="009412E6" w:rsidRPr="000B4D70" w:rsidRDefault="009412E6" w:rsidP="000B4D70">
            <w:pPr>
              <w:jc w:val="center"/>
            </w:pPr>
            <w:r>
              <w:t>972,5</w:t>
            </w:r>
          </w:p>
        </w:tc>
        <w:tc>
          <w:tcPr>
            <w:tcW w:w="2127" w:type="dxa"/>
          </w:tcPr>
          <w:p w:rsidR="009412E6" w:rsidRPr="000B4D70" w:rsidRDefault="001F1831" w:rsidP="000B4D70">
            <w:pPr>
              <w:jc w:val="center"/>
            </w:pPr>
            <w:r>
              <w:t>1991,6</w:t>
            </w:r>
          </w:p>
        </w:tc>
        <w:tc>
          <w:tcPr>
            <w:tcW w:w="1275" w:type="dxa"/>
          </w:tcPr>
          <w:p w:rsidR="009412E6" w:rsidRPr="000B4D70" w:rsidRDefault="001F1831" w:rsidP="000B4D70">
            <w:pPr>
              <w:jc w:val="center"/>
            </w:pPr>
            <w:r>
              <w:t>204</w:t>
            </w:r>
          </w:p>
        </w:tc>
        <w:tc>
          <w:tcPr>
            <w:tcW w:w="1276" w:type="dxa"/>
          </w:tcPr>
          <w:p w:rsidR="009412E6" w:rsidRPr="000B4D70" w:rsidRDefault="001F1831" w:rsidP="000B4D70">
            <w:pPr>
              <w:jc w:val="center"/>
            </w:pPr>
            <w:r>
              <w:t>+1019,4</w:t>
            </w:r>
          </w:p>
        </w:tc>
      </w:tr>
      <w:tr w:rsidR="009412E6" w:rsidRPr="000B4D70" w:rsidTr="009412E6">
        <w:tc>
          <w:tcPr>
            <w:tcW w:w="2694" w:type="dxa"/>
          </w:tcPr>
          <w:p w:rsidR="009412E6" w:rsidRPr="000B4D70" w:rsidRDefault="009412E6" w:rsidP="000B4D70">
            <w:pPr>
              <w:jc w:val="center"/>
              <w:rPr>
                <w:b/>
              </w:rPr>
            </w:pPr>
            <w:r w:rsidRPr="000B4D70">
              <w:rPr>
                <w:b/>
              </w:rPr>
              <w:t>итого</w:t>
            </w:r>
          </w:p>
        </w:tc>
        <w:tc>
          <w:tcPr>
            <w:tcW w:w="1842" w:type="dxa"/>
          </w:tcPr>
          <w:p w:rsidR="009412E6" w:rsidRPr="000B4D70" w:rsidRDefault="009412E6" w:rsidP="000B4D70">
            <w:pPr>
              <w:jc w:val="center"/>
              <w:rPr>
                <w:b/>
              </w:rPr>
            </w:pPr>
            <w:r>
              <w:rPr>
                <w:b/>
              </w:rPr>
              <w:t>146352,2</w:t>
            </w:r>
          </w:p>
        </w:tc>
        <w:tc>
          <w:tcPr>
            <w:tcW w:w="2127" w:type="dxa"/>
          </w:tcPr>
          <w:p w:rsidR="009412E6" w:rsidRPr="000B4D70" w:rsidRDefault="009412E6" w:rsidP="000B4D70">
            <w:pPr>
              <w:jc w:val="center"/>
              <w:rPr>
                <w:b/>
              </w:rPr>
            </w:pPr>
            <w:r>
              <w:rPr>
                <w:b/>
              </w:rPr>
              <w:t>145082,7</w:t>
            </w:r>
          </w:p>
        </w:tc>
        <w:tc>
          <w:tcPr>
            <w:tcW w:w="1275" w:type="dxa"/>
          </w:tcPr>
          <w:p w:rsidR="009412E6" w:rsidRPr="000B4D70" w:rsidRDefault="000F3D3F" w:rsidP="000B4D70">
            <w:pPr>
              <w:jc w:val="center"/>
              <w:rPr>
                <w:b/>
              </w:rPr>
            </w:pPr>
            <w:r>
              <w:rPr>
                <w:b/>
              </w:rPr>
              <w:t>99,1%</w:t>
            </w:r>
          </w:p>
        </w:tc>
        <w:tc>
          <w:tcPr>
            <w:tcW w:w="1276" w:type="dxa"/>
          </w:tcPr>
          <w:p w:rsidR="009412E6" w:rsidRPr="000B4D70" w:rsidRDefault="005A285F" w:rsidP="000B4D70">
            <w:pPr>
              <w:jc w:val="center"/>
              <w:rPr>
                <w:b/>
              </w:rPr>
            </w:pPr>
            <w:r>
              <w:rPr>
                <w:b/>
              </w:rPr>
              <w:t>-1269,5</w:t>
            </w:r>
          </w:p>
        </w:tc>
      </w:tr>
    </w:tbl>
    <w:p w:rsidR="00E01C21" w:rsidRDefault="00E01C21" w:rsidP="00E01C21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E01C21" w:rsidRPr="00E01C21" w:rsidRDefault="000B4D70" w:rsidP="00E01C2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D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01C21" w:rsidRPr="00E01C21">
        <w:rPr>
          <w:rFonts w:ascii="Times New Roman" w:eastAsia="Times New Roman" w:hAnsi="Times New Roman" w:cs="Times New Roman"/>
          <w:b/>
          <w:lang w:eastAsia="ru-RU"/>
        </w:rPr>
        <w:t>6.</w:t>
      </w:r>
      <w:r w:rsidR="00E01C21" w:rsidRPr="00E0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C21" w:rsidRPr="00E01C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плановых назначений по доходам </w:t>
      </w:r>
    </w:p>
    <w:p w:rsidR="00E01C21" w:rsidRPr="005B40D1" w:rsidRDefault="005B40D1" w:rsidP="00E01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E01C21" w:rsidRPr="005B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 с решением Собрания депутатов Еткульского муниципального района  от </w:t>
      </w:r>
      <w:r w:rsidR="00135CC3" w:rsidRPr="005B40D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942448" w:rsidRPr="005B40D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.12.2014</w:t>
      </w:r>
      <w:r w:rsidR="00E01C21" w:rsidRPr="005B40D1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 610 «О бюджете Еткульского муниципального района на 201</w:t>
      </w:r>
      <w:r w:rsidR="00D67AE1">
        <w:rPr>
          <w:rFonts w:ascii="Times New Roman" w:eastAsia="Times New Roman" w:hAnsi="Times New Roman" w:cs="Times New Roman"/>
          <w:sz w:val="24"/>
          <w:szCs w:val="24"/>
          <w:lang w:eastAsia="ru-RU"/>
        </w:rPr>
        <w:t>5г и плановый период  2016- 2017</w:t>
      </w:r>
      <w:r w:rsidR="00E01C21" w:rsidRPr="005B40D1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г.г.». Управление социальной защиты населения  является ГАБС  (646).</w:t>
      </w:r>
    </w:p>
    <w:p w:rsidR="00942448" w:rsidRPr="005B40D1" w:rsidRDefault="00E01C21" w:rsidP="0094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B40D1" w:rsidRPr="005B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ф. 0503127 ( раздел 1 «Доходы бюджета», графа  4 «Утвержденные бюджетные назначения») утвержденные  бюджетные назначения   по дохода</w:t>
      </w:r>
      <w:r w:rsidR="00942448" w:rsidRPr="005B40D1">
        <w:rPr>
          <w:rFonts w:ascii="Times New Roman" w:eastAsia="Times New Roman" w:hAnsi="Times New Roman" w:cs="Times New Roman"/>
          <w:sz w:val="24"/>
          <w:szCs w:val="24"/>
          <w:lang w:eastAsia="ru-RU"/>
        </w:rPr>
        <w:t>м УСЗН отражены в сумме 155996,8</w:t>
      </w:r>
      <w:r w:rsidRPr="005B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5B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B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5B40D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B40D1">
        <w:rPr>
          <w:rFonts w:ascii="Times New Roman" w:eastAsia="Times New Roman" w:hAnsi="Times New Roman" w:cs="Times New Roman"/>
          <w:sz w:val="24"/>
          <w:szCs w:val="24"/>
          <w:lang w:eastAsia="ru-RU"/>
        </w:rPr>
        <w:t>.  ассигнования</w:t>
      </w:r>
      <w:r w:rsidR="00942448" w:rsidRPr="005B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МУ «МЦСОН» в сумме  15503,2</w:t>
      </w:r>
      <w:r w:rsidRPr="005B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. В графе 5 « исполнено через фин. органы», кассовые д</w:t>
      </w:r>
      <w:r w:rsidR="00942448" w:rsidRPr="005B40D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оходы  отражены в сумме 150926,8</w:t>
      </w:r>
      <w:r w:rsidRPr="005B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,  подтверждено дынными ф. 0503110 «Справка по заключению счетов бюджет</w:t>
      </w:r>
      <w:r w:rsidR="002B6978" w:rsidRPr="005B4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учета отчетного фин. года»</w:t>
      </w:r>
      <w:proofErr w:type="gramStart"/>
      <w:r w:rsidR="002B6978" w:rsidRPr="005B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2B6978" w:rsidRPr="005B4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0503164 «Сведения об исполнении бюджета».</w:t>
      </w:r>
      <w:r w:rsidR="00942448" w:rsidRPr="005B4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2448" w:rsidRPr="005B40D1" w:rsidRDefault="00942448" w:rsidP="00942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448" w:rsidRDefault="00942448" w:rsidP="00942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 Исполнение плановых назначений по расходам.</w:t>
      </w:r>
    </w:p>
    <w:p w:rsidR="002B6978" w:rsidRDefault="002B6978" w:rsidP="00942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2448" w:rsidRPr="00AD78E8" w:rsidRDefault="00942448" w:rsidP="00942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представленному  годовому отчету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бюджета (ф. 0503127), расходы  УСЗН </w:t>
      </w:r>
      <w:r w:rsidRPr="00AD78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год исполнены  в объеме 144032,9 тыс. рублей или  99,2</w:t>
      </w:r>
      <w:r w:rsidRPr="00AD78E8">
        <w:rPr>
          <w:rFonts w:ascii="Times New Roman" w:eastAsia="Times New Roman" w:hAnsi="Times New Roman" w:cs="Times New Roman"/>
          <w:sz w:val="24"/>
          <w:szCs w:val="24"/>
          <w:lang w:eastAsia="ru-RU"/>
        </w:rPr>
        <w:t>% к уточненным бюджетным  ассигнования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145082,7 тыс. рублей). </w:t>
      </w:r>
      <w:r w:rsidRPr="00AD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 раздел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2 «Расходы бюджета»  ф. 050312</w:t>
      </w:r>
      <w:r w:rsidRPr="00AD78E8">
        <w:rPr>
          <w:rFonts w:ascii="Times New Roman" w:eastAsia="Times New Roman" w:hAnsi="Times New Roman" w:cs="Times New Roman"/>
          <w:sz w:val="24"/>
          <w:szCs w:val="24"/>
          <w:lang w:eastAsia="ru-RU"/>
        </w:rPr>
        <w:t>7  годового отчета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7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имеют расхождений с показателями  р. 2  ф. 0503164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AD78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D78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6978" w:rsidRPr="002B6978" w:rsidRDefault="002B6978" w:rsidP="002B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Показатели бюджетной росписи  ГРБС соответствуют утвержденным бюджетным показателям. При анализе исполнения расходной части</w:t>
      </w:r>
      <w:proofErr w:type="gramStart"/>
      <w:r w:rsidRPr="002B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B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превышения фактического финансирования над плановыми бюджетными назначениями , не установлены.</w:t>
      </w:r>
    </w:p>
    <w:p w:rsidR="002B6978" w:rsidRPr="002B6978" w:rsidRDefault="002B6978" w:rsidP="002B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 проверке  соответствия объемов принятых денежных обязательств лимитам бюджетных обязательств  нарушений не установлено. </w:t>
      </w:r>
    </w:p>
    <w:p w:rsidR="002B6978" w:rsidRPr="002B6978" w:rsidRDefault="002B6978" w:rsidP="0094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48" w:rsidRDefault="00942448" w:rsidP="0094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8 .  Исполнение мероприятий в рамках целевых программ</w:t>
      </w:r>
    </w:p>
    <w:p w:rsidR="002B6978" w:rsidRPr="00942448" w:rsidRDefault="002B6978" w:rsidP="00942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448" w:rsidRPr="00942448" w:rsidRDefault="00942448" w:rsidP="00942448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Муниципальные программы  являются  одним из важнейших инструментов реализации целей и задач  УСЗН  В смете  управления  на 2015 год  программно – целевым  методом  охвачено  100%  бюджетных назначений.  </w:t>
      </w:r>
    </w:p>
    <w:p w:rsidR="00942448" w:rsidRPr="005B40D1" w:rsidRDefault="005B40D1" w:rsidP="005B40D1">
      <w:pPr>
        <w:tabs>
          <w:tab w:val="left" w:pos="1920"/>
          <w:tab w:val="left" w:pos="77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5B40D1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№ 2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88"/>
        <w:gridCol w:w="846"/>
        <w:gridCol w:w="3094"/>
        <w:gridCol w:w="1134"/>
        <w:gridCol w:w="1132"/>
        <w:gridCol w:w="566"/>
        <w:gridCol w:w="711"/>
      </w:tblGrid>
      <w:tr w:rsidR="00942448" w:rsidRPr="00942448" w:rsidTr="00942448">
        <w:tc>
          <w:tcPr>
            <w:tcW w:w="2088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</w:t>
            </w:r>
          </w:p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мероприятия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бюджетом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942448" w:rsidRPr="00942448" w:rsidTr="00942448">
        <w:tc>
          <w:tcPr>
            <w:tcW w:w="2088" w:type="dxa"/>
            <w:vMerge w:val="restart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ВЦП «Социальная поддержка отдельных категорий граждан Еткульского  </w:t>
            </w:r>
            <w:proofErr w:type="spellStart"/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</w:t>
            </w:r>
            <w:proofErr w:type="spellEnd"/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района на 2015,2016,2017г.</w:t>
            </w:r>
            <w:proofErr w:type="gramStart"/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.»</w:t>
            </w:r>
          </w:p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0020434</w:t>
            </w: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отдела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2235,1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2235.1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448" w:rsidRPr="00942448" w:rsidTr="00942448">
        <w:tc>
          <w:tcPr>
            <w:tcW w:w="2088" w:type="dxa"/>
            <w:vMerge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0020446</w:t>
            </w: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органов УСЗН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7239,7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7239,0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448" w:rsidRPr="00942448" w:rsidTr="00942448">
        <w:tc>
          <w:tcPr>
            <w:tcW w:w="2088" w:type="dxa"/>
            <w:vMerge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0020477</w:t>
            </w: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отдела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353,4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351,9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-0.5</w:t>
            </w:r>
          </w:p>
        </w:tc>
      </w:tr>
      <w:tr w:rsidR="00942448" w:rsidRPr="00942448" w:rsidTr="00942448">
        <w:tc>
          <w:tcPr>
            <w:tcW w:w="2088" w:type="dxa"/>
            <w:vMerge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0028900</w:t>
            </w: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  <w:proofErr w:type="gramEnd"/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уплату налогов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-17,2</w:t>
            </w:r>
          </w:p>
        </w:tc>
      </w:tr>
      <w:tr w:rsidR="00942448" w:rsidRPr="00942448" w:rsidTr="00942448">
        <w:tc>
          <w:tcPr>
            <w:tcW w:w="2088" w:type="dxa"/>
            <w:vMerge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0504800</w:t>
            </w: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гражданам на оплату субсидий ЖКУ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11248,3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11248,3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448" w:rsidRPr="00942448" w:rsidTr="00942448">
        <w:tc>
          <w:tcPr>
            <w:tcW w:w="2088" w:type="dxa"/>
            <w:vMerge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5055137</w:t>
            </w: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полномочий РФ по  предоставлению отдельных мер </w:t>
            </w:r>
            <w:proofErr w:type="spellStart"/>
            <w:proofErr w:type="gramStart"/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</w:t>
            </w:r>
            <w:proofErr w:type="spellEnd"/>
            <w:proofErr w:type="gramEnd"/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поддержки гражданам подвергшимся воздействию радиации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359,9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320,3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-39,3</w:t>
            </w:r>
          </w:p>
        </w:tc>
      </w:tr>
      <w:tr w:rsidR="00942448" w:rsidRPr="00942448" w:rsidTr="00942448">
        <w:tc>
          <w:tcPr>
            <w:tcW w:w="2088" w:type="dxa"/>
            <w:vMerge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5055220</w:t>
            </w: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пособия «Почётный донор»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1657,5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1657,1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-0,4</w:t>
            </w:r>
          </w:p>
        </w:tc>
      </w:tr>
      <w:tr w:rsidR="00942448" w:rsidRPr="00942448" w:rsidTr="00942448">
        <w:tc>
          <w:tcPr>
            <w:tcW w:w="2088" w:type="dxa"/>
            <w:vMerge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5055250</w:t>
            </w: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на оплату ЖКУ отдельным категориям граждан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12542,2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12058,9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-485,2</w:t>
            </w:r>
          </w:p>
        </w:tc>
      </w:tr>
      <w:tr w:rsidR="00942448" w:rsidRPr="00942448" w:rsidTr="00942448">
        <w:tc>
          <w:tcPr>
            <w:tcW w:w="2088" w:type="dxa"/>
            <w:vMerge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5057560</w:t>
            </w: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расходов на оплату ЖКУ сельским педагогам и сельским специалистам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12640,6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12221,2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-432,6</w:t>
            </w:r>
          </w:p>
        </w:tc>
      </w:tr>
      <w:tr w:rsidR="00942448" w:rsidRPr="00942448" w:rsidTr="00942448">
        <w:tc>
          <w:tcPr>
            <w:tcW w:w="2088" w:type="dxa"/>
            <w:vMerge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5057580</w:t>
            </w: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пособия на погребение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376,0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376,0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448" w:rsidRPr="00942448" w:rsidTr="00942448">
        <w:tc>
          <w:tcPr>
            <w:tcW w:w="2088" w:type="dxa"/>
            <w:vMerge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5058600</w:t>
            </w: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Выплата единовременного </w:t>
            </w:r>
            <w:proofErr w:type="spellStart"/>
            <w:proofErr w:type="gramStart"/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</w:t>
            </w:r>
            <w:proofErr w:type="spellEnd"/>
            <w:proofErr w:type="gramEnd"/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пособия по распоряжениям администрации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199,5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448" w:rsidRPr="00942448" w:rsidTr="00942448">
        <w:tc>
          <w:tcPr>
            <w:tcW w:w="2088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48878,9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47916,7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975,4</w:t>
            </w:r>
          </w:p>
        </w:tc>
      </w:tr>
      <w:tr w:rsidR="00942448" w:rsidRPr="00942448" w:rsidTr="00942448">
        <w:tc>
          <w:tcPr>
            <w:tcW w:w="2088" w:type="dxa"/>
            <w:vMerge w:val="restart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ВЦП</w:t>
            </w:r>
            <w:proofErr w:type="gramStart"/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»С</w:t>
            </w:r>
            <w:proofErr w:type="gramEnd"/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оциальное</w:t>
            </w:r>
            <w:proofErr w:type="spellEnd"/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обслуживание населения Еткульского муниципального района  Челябинской области</w:t>
            </w: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5088220</w:t>
            </w: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иные цели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448" w:rsidRPr="00942448" w:rsidTr="00942448">
        <w:tc>
          <w:tcPr>
            <w:tcW w:w="2088" w:type="dxa"/>
            <w:vMerge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5088280</w:t>
            </w: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выполнение </w:t>
            </w:r>
            <w:proofErr w:type="spellStart"/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</w:t>
            </w:r>
            <w:proofErr w:type="spellEnd"/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задания, и на иные цели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13758,2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13758,2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448" w:rsidRPr="00942448" w:rsidTr="00942448">
        <w:tc>
          <w:tcPr>
            <w:tcW w:w="2088" w:type="dxa"/>
            <w:vMerge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5057560</w:t>
            </w: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расходов на оплату ЖКУ сельским педагогам и сельским специалистам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330.0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316,8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-13,2</w:t>
            </w:r>
          </w:p>
        </w:tc>
      </w:tr>
      <w:tr w:rsidR="00942448" w:rsidRPr="00942448" w:rsidTr="00942448">
        <w:tc>
          <w:tcPr>
            <w:tcW w:w="2088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14105,7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14092,5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</w:p>
        </w:tc>
      </w:tr>
      <w:tr w:rsidR="00942448" w:rsidRPr="00942448" w:rsidTr="00942448">
        <w:tc>
          <w:tcPr>
            <w:tcW w:w="2088" w:type="dxa"/>
            <w:vMerge w:val="restart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ГП ЧО «Повышение  качества жизни граждан пожилого возраста в </w:t>
            </w:r>
            <w:proofErr w:type="spellStart"/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Челябинскоя</w:t>
            </w:r>
            <w:proofErr w:type="spellEnd"/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области « на 2014-2017г.г.</w:t>
            </w:r>
          </w:p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6060222</w:t>
            </w: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ЕДВ ветеранам труда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10789,2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10789,0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448" w:rsidRPr="00942448" w:rsidTr="00942448">
        <w:tc>
          <w:tcPr>
            <w:tcW w:w="2088" w:type="dxa"/>
            <w:vMerge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6060225</w:t>
            </w: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Компенсационные выплаты на оплату ЖКУ ветеранам труда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5795,7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5739,2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-56,4</w:t>
            </w:r>
          </w:p>
        </w:tc>
      </w:tr>
      <w:tr w:rsidR="00942448" w:rsidRPr="00942448" w:rsidTr="00942448">
        <w:tc>
          <w:tcPr>
            <w:tcW w:w="2088" w:type="dxa"/>
            <w:vMerge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6060232</w:t>
            </w: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ЕДВ</w:t>
            </w:r>
            <w:proofErr w:type="gramStart"/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ЖПР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1228,8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1228,8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448" w:rsidRPr="00942448" w:rsidTr="00942448">
        <w:tc>
          <w:tcPr>
            <w:tcW w:w="2088" w:type="dxa"/>
            <w:vMerge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6060235</w:t>
            </w: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Компенсационные расходы на оплату ЖКУ, ЖПР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560,4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552,9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-7,4</w:t>
            </w:r>
          </w:p>
        </w:tc>
      </w:tr>
      <w:tr w:rsidR="00942448" w:rsidRPr="00942448" w:rsidTr="00942448">
        <w:tc>
          <w:tcPr>
            <w:tcW w:w="2088" w:type="dxa"/>
            <w:vMerge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6060242</w:t>
            </w: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Выплата ЕДВ гражданам имеющих звание </w:t>
            </w:r>
            <w:proofErr w:type="gramStart"/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gramEnd"/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ЧО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11601,7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11601,7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448" w:rsidRPr="00942448" w:rsidTr="00942448">
        <w:tc>
          <w:tcPr>
            <w:tcW w:w="2088" w:type="dxa"/>
            <w:vMerge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6060251</w:t>
            </w: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расходов на оплату ЖКУ ветеранам ВОВ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448" w:rsidRPr="00942448" w:rsidTr="00942448">
        <w:tc>
          <w:tcPr>
            <w:tcW w:w="2088" w:type="dxa"/>
            <w:vMerge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6060253</w:t>
            </w: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ЕДВ за пользование услугами связи и радио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-0,1</w:t>
            </w:r>
          </w:p>
        </w:tc>
      </w:tr>
      <w:tr w:rsidR="00942448" w:rsidRPr="00942448" w:rsidTr="00942448">
        <w:tc>
          <w:tcPr>
            <w:tcW w:w="2088" w:type="dxa"/>
            <w:vMerge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30013,6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29949,6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-64,0</w:t>
            </w:r>
          </w:p>
        </w:tc>
      </w:tr>
      <w:tr w:rsidR="00942448" w:rsidRPr="00942448" w:rsidTr="00942448">
        <w:tc>
          <w:tcPr>
            <w:tcW w:w="2088" w:type="dxa"/>
            <w:vMerge w:val="restart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 ЧО «Дети Южного Урала» на 2014-2017годы</w:t>
            </w: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6070208</w:t>
            </w: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ежемесячного пособия по уходу за ребёнком от 1,5-3 лет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1612,6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1612,5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-0,1</w:t>
            </w:r>
          </w:p>
        </w:tc>
      </w:tr>
      <w:tr w:rsidR="00942448" w:rsidRPr="00942448" w:rsidTr="00942448">
        <w:tc>
          <w:tcPr>
            <w:tcW w:w="2088" w:type="dxa"/>
            <w:vMerge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6070209</w:t>
            </w: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отдела опеки и попечительства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1298,4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1298,4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448" w:rsidRPr="00942448" w:rsidTr="00942448">
        <w:tc>
          <w:tcPr>
            <w:tcW w:w="2088" w:type="dxa"/>
            <w:vMerge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6070211</w:t>
            </w: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ежемесячного пособия р</w:t>
            </w:r>
            <w:proofErr w:type="gramStart"/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ребёнка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11620,5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11620,5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448" w:rsidRPr="00942448" w:rsidTr="00942448">
        <w:tc>
          <w:tcPr>
            <w:tcW w:w="2088" w:type="dxa"/>
            <w:vMerge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6070270</w:t>
            </w: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Областное единовременное пособие при рождении ребёнка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977,7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976,4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-1,3</w:t>
            </w:r>
          </w:p>
        </w:tc>
      </w:tr>
      <w:tr w:rsidR="00942448" w:rsidRPr="00942448" w:rsidTr="00942448">
        <w:tc>
          <w:tcPr>
            <w:tcW w:w="2088" w:type="dxa"/>
            <w:vMerge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6070276</w:t>
            </w: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на содержание детей в приёмной семье и семье опекуна, а также вознаграждение  приёмным родителям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14307,4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14307,4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448" w:rsidRPr="00942448" w:rsidTr="00942448">
        <w:tc>
          <w:tcPr>
            <w:tcW w:w="2088" w:type="dxa"/>
            <w:vMerge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6070290</w:t>
            </w: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Компенсация расходов на оплату ЖКУ многодетным семьям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1459.4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1450,2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-9,2</w:t>
            </w:r>
          </w:p>
        </w:tc>
      </w:tr>
      <w:tr w:rsidR="00942448" w:rsidRPr="00942448" w:rsidTr="00942448">
        <w:tc>
          <w:tcPr>
            <w:tcW w:w="2088" w:type="dxa"/>
            <w:vMerge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6075380</w:t>
            </w: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единовременного пособия при рождении ребёнка, пособия по уходу за ребёнком до 1,5 лет не работающим гражданам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19413,5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10413,5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448" w:rsidRPr="00942448" w:rsidTr="00942448">
        <w:tc>
          <w:tcPr>
            <w:tcW w:w="2088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50689,5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50679,0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10,5</w:t>
            </w:r>
          </w:p>
        </w:tc>
      </w:tr>
      <w:tr w:rsidR="00942448" w:rsidRPr="00942448" w:rsidTr="00942448">
        <w:tc>
          <w:tcPr>
            <w:tcW w:w="2088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  <w:proofErr w:type="spellEnd"/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социальной поддержки малообеспеченных граждан на 2015-2017г</w:t>
            </w:r>
            <w:proofErr w:type="gramStart"/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7950098</w:t>
            </w: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ремонт жилья ветеранам труда, труженикам тыла, ИВОВ, УВОВ, ЕСП малоимущим гражданам, организация памятных мероприятий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1335,0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1335.0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448" w:rsidRPr="00942448" w:rsidTr="00942448">
        <w:tc>
          <w:tcPr>
            <w:tcW w:w="2088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1335,0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1335,0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448" w:rsidRPr="00942448" w:rsidTr="00942448">
        <w:tc>
          <w:tcPr>
            <w:tcW w:w="2088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 «Формирование доступной среды для инвалидов в Еткульском  районе на 2015г»</w:t>
            </w: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7951000</w:t>
            </w:r>
          </w:p>
        </w:tc>
        <w:tc>
          <w:tcPr>
            <w:tcW w:w="3094" w:type="dxa"/>
          </w:tcPr>
          <w:p w:rsidR="00942448" w:rsidRPr="00942448" w:rsidRDefault="001F1831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 «</w:t>
            </w:r>
            <w:r w:rsidR="00942448"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доступной среды для инвалидов Еткульского муниципального района на 2015 год»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448" w:rsidRPr="00942448" w:rsidTr="00942448">
        <w:tc>
          <w:tcPr>
            <w:tcW w:w="2088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60.0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448" w:rsidRPr="00942448" w:rsidTr="00942448">
        <w:tc>
          <w:tcPr>
            <w:tcW w:w="2088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145 082,7</w:t>
            </w:r>
          </w:p>
        </w:tc>
        <w:tc>
          <w:tcPr>
            <w:tcW w:w="1132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144 032,9</w:t>
            </w:r>
          </w:p>
        </w:tc>
        <w:tc>
          <w:tcPr>
            <w:tcW w:w="566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711" w:type="dxa"/>
          </w:tcPr>
          <w:p w:rsidR="00942448" w:rsidRPr="00942448" w:rsidRDefault="00942448" w:rsidP="00942448">
            <w:pPr>
              <w:tabs>
                <w:tab w:val="left" w:pos="1920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1049,8</w:t>
            </w:r>
          </w:p>
        </w:tc>
      </w:tr>
    </w:tbl>
    <w:p w:rsidR="005B40D1" w:rsidRDefault="005B40D1" w:rsidP="005B40D1">
      <w:pPr>
        <w:tabs>
          <w:tab w:val="left" w:pos="1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448" w:rsidRPr="00942448" w:rsidRDefault="00942448" w:rsidP="005B40D1">
      <w:pPr>
        <w:tabs>
          <w:tab w:val="left" w:pos="1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424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  на мероприятия в рамках целевых программ исполнены  в объёме 144032,9   тыс. рублей или  99,2% от запланированных ассигнований ( 145082,7 тыс. рублей)</w:t>
      </w:r>
      <w:proofErr w:type="gramStart"/>
      <w:r w:rsidRPr="0094244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94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целевых программ не исполненными остались средства</w:t>
      </w:r>
      <w:r w:rsidR="0064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1049</w:t>
      </w:r>
      <w:r w:rsidRPr="00942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,8 тыс. рублей,  связано с оплатой фактически выставленных счетов. </w:t>
      </w:r>
    </w:p>
    <w:p w:rsidR="005B40D1" w:rsidRDefault="00942448" w:rsidP="0094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448">
        <w:rPr>
          <w:rFonts w:ascii="Times New Roman" w:eastAsia="Times New Roman" w:hAnsi="Times New Roman" w:cs="Times New Roman"/>
          <w:sz w:val="24"/>
          <w:szCs w:val="24"/>
        </w:rPr>
        <w:t xml:space="preserve">         Показатели ф.  0503166 «Сведения об исполнении мероприятий в рамках целевых программ» не имеют расхождений  с показателями ф. 0503117  «Отчёт об исполнении бюджета, что соответствует требованиям  п. 164 инструкции 191н</w:t>
      </w:r>
      <w:proofErr w:type="gramStart"/>
      <w:r w:rsidRPr="0094244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B40D1" w:rsidRPr="00942448" w:rsidRDefault="005B40D1" w:rsidP="0094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448" w:rsidRPr="00942448" w:rsidRDefault="00942448" w:rsidP="00942448">
      <w:pPr>
        <w:tabs>
          <w:tab w:val="left" w:pos="1134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44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9. Анализ показателей финансовой отчётности</w:t>
      </w:r>
    </w:p>
    <w:p w:rsidR="00942448" w:rsidRPr="002230E5" w:rsidRDefault="00942448" w:rsidP="00942448">
      <w:pPr>
        <w:tabs>
          <w:tab w:val="left" w:pos="1134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30E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9.1</w:t>
      </w:r>
      <w:r w:rsidR="002230E5" w:rsidRPr="002230E5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2230E5">
        <w:rPr>
          <w:rFonts w:ascii="Times New Roman" w:eastAsia="Times New Roman" w:hAnsi="Times New Roman" w:cs="Times New Roman"/>
          <w:b/>
          <w:sz w:val="20"/>
          <w:szCs w:val="20"/>
        </w:rPr>
        <w:t>Сведения  о движении нефинансовых активов  (ф. 0503168).</w:t>
      </w:r>
    </w:p>
    <w:p w:rsidR="00942448" w:rsidRPr="005B40D1" w:rsidRDefault="005B40D1" w:rsidP="005B40D1">
      <w:pPr>
        <w:tabs>
          <w:tab w:val="left" w:pos="7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</w:t>
      </w:r>
      <w:r w:rsidRPr="005B40D1">
        <w:rPr>
          <w:rFonts w:ascii="Times New Roman" w:eastAsia="Times New Roman" w:hAnsi="Times New Roman" w:cs="Times New Roman"/>
          <w:sz w:val="16"/>
          <w:szCs w:val="16"/>
        </w:rPr>
        <w:t>Таблица №3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1134"/>
        <w:gridCol w:w="1134"/>
        <w:gridCol w:w="1559"/>
        <w:gridCol w:w="1241"/>
      </w:tblGrid>
      <w:tr w:rsidR="00942448" w:rsidRPr="00942448" w:rsidTr="00942448">
        <w:tc>
          <w:tcPr>
            <w:tcW w:w="3085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</w:t>
            </w:r>
          </w:p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на 01.01.2015г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поступило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выбыло</w:t>
            </w:r>
          </w:p>
        </w:tc>
        <w:tc>
          <w:tcPr>
            <w:tcW w:w="1559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</w:t>
            </w:r>
          </w:p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на 01.01.2016.</w:t>
            </w:r>
          </w:p>
        </w:tc>
        <w:tc>
          <w:tcPr>
            <w:tcW w:w="1241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Начислен</w:t>
            </w:r>
          </w:p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% износа</w:t>
            </w:r>
          </w:p>
        </w:tc>
      </w:tr>
      <w:tr w:rsidR="00942448" w:rsidRPr="00942448" w:rsidTr="00942448">
        <w:tc>
          <w:tcPr>
            <w:tcW w:w="3085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Основные средства всего:</w:t>
            </w:r>
          </w:p>
        </w:tc>
        <w:tc>
          <w:tcPr>
            <w:tcW w:w="1418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2999,6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772,5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15,8</w:t>
            </w:r>
          </w:p>
        </w:tc>
        <w:tc>
          <w:tcPr>
            <w:tcW w:w="1559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3756,3</w:t>
            </w:r>
          </w:p>
        </w:tc>
        <w:tc>
          <w:tcPr>
            <w:tcW w:w="1241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82</w:t>
            </w:r>
          </w:p>
        </w:tc>
      </w:tr>
      <w:tr w:rsidR="00942448" w:rsidRPr="00942448" w:rsidTr="00942448">
        <w:tc>
          <w:tcPr>
            <w:tcW w:w="3085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-нежилые помещения</w:t>
            </w:r>
          </w:p>
        </w:tc>
        <w:tc>
          <w:tcPr>
            <w:tcW w:w="1418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142,3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142,3</w:t>
            </w:r>
          </w:p>
        </w:tc>
        <w:tc>
          <w:tcPr>
            <w:tcW w:w="1241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942448" w:rsidRPr="00942448" w:rsidTr="00942448">
        <w:tc>
          <w:tcPr>
            <w:tcW w:w="3085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-сооружения</w:t>
            </w:r>
          </w:p>
        </w:tc>
        <w:tc>
          <w:tcPr>
            <w:tcW w:w="1418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2448" w:rsidRPr="00942448" w:rsidTr="00942448">
        <w:tc>
          <w:tcPr>
            <w:tcW w:w="3085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-транспортные средства</w:t>
            </w:r>
          </w:p>
        </w:tc>
        <w:tc>
          <w:tcPr>
            <w:tcW w:w="1418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1241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2448" w:rsidRPr="00942448" w:rsidTr="00942448">
        <w:tc>
          <w:tcPr>
            <w:tcW w:w="3085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-машины оборудование</w:t>
            </w:r>
          </w:p>
        </w:tc>
        <w:tc>
          <w:tcPr>
            <w:tcW w:w="1418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2150,8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156,0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1559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2300,6</w:t>
            </w:r>
          </w:p>
        </w:tc>
        <w:tc>
          <w:tcPr>
            <w:tcW w:w="1241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942448" w:rsidRPr="00942448" w:rsidTr="00942448">
        <w:tc>
          <w:tcPr>
            <w:tcW w:w="3085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-производственный и </w:t>
            </w:r>
            <w:proofErr w:type="spellStart"/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инвентарь</w:t>
            </w:r>
          </w:p>
        </w:tc>
        <w:tc>
          <w:tcPr>
            <w:tcW w:w="1418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695,6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1559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752,6</w:t>
            </w:r>
          </w:p>
        </w:tc>
        <w:tc>
          <w:tcPr>
            <w:tcW w:w="1241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42448" w:rsidRPr="00942448" w:rsidTr="00942448">
        <w:tc>
          <w:tcPr>
            <w:tcW w:w="3085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-прочие основные средства</w:t>
            </w:r>
          </w:p>
        </w:tc>
        <w:tc>
          <w:tcPr>
            <w:tcW w:w="1418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559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1241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942448" w:rsidRPr="00942448" w:rsidTr="00942448">
        <w:tc>
          <w:tcPr>
            <w:tcW w:w="3085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Материальные запасы</w:t>
            </w:r>
          </w:p>
        </w:tc>
        <w:tc>
          <w:tcPr>
            <w:tcW w:w="1418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397,1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400,9</w:t>
            </w:r>
          </w:p>
        </w:tc>
        <w:tc>
          <w:tcPr>
            <w:tcW w:w="1559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1241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2448" w:rsidRPr="00942448" w:rsidTr="00942448">
        <w:tc>
          <w:tcPr>
            <w:tcW w:w="3085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Непроизведённые активы (Земля)</w:t>
            </w:r>
          </w:p>
        </w:tc>
        <w:tc>
          <w:tcPr>
            <w:tcW w:w="1418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1328,4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241,4</w:t>
            </w:r>
          </w:p>
        </w:tc>
        <w:tc>
          <w:tcPr>
            <w:tcW w:w="1134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42448">
              <w:rPr>
                <w:rFonts w:ascii="Times New Roman" w:eastAsia="Times New Roman" w:hAnsi="Times New Roman" w:cs="Times New Roman"/>
                <w:sz w:val="18"/>
                <w:szCs w:val="18"/>
              </w:rPr>
              <w:t>1569,8</w:t>
            </w:r>
          </w:p>
        </w:tc>
        <w:tc>
          <w:tcPr>
            <w:tcW w:w="1241" w:type="dxa"/>
          </w:tcPr>
          <w:p w:rsidR="00942448" w:rsidRPr="00942448" w:rsidRDefault="00942448" w:rsidP="00942448">
            <w:pPr>
              <w:tabs>
                <w:tab w:val="left" w:pos="1134"/>
                <w:tab w:val="right" w:pos="1020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62910" w:rsidRDefault="00462910" w:rsidP="00942448">
      <w:pPr>
        <w:tabs>
          <w:tab w:val="left" w:pos="1134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В 2015 году поступило основных средств  на сумму 772,5 тыс. рублей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том числе  26.05.2015г. приобретён  легковой автомобиль  Шевроле-Нива стоимостью 550,0 тыс. рублей ( поставщик  Торговый Дом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Джемир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-Курган».</w:t>
      </w:r>
      <w:r w:rsidR="00942448" w:rsidRPr="0094244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42448" w:rsidRDefault="00462910" w:rsidP="00942448">
      <w:pPr>
        <w:tabs>
          <w:tab w:val="left" w:pos="1134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="00942448" w:rsidRPr="00942448">
        <w:rPr>
          <w:rFonts w:ascii="Times New Roman" w:eastAsia="Times New Roman" w:hAnsi="Times New Roman" w:cs="Times New Roman"/>
          <w:sz w:val="24"/>
          <w:szCs w:val="24"/>
        </w:rPr>
        <w:t xml:space="preserve">  Показатели ф. 0503168 «Сведения о движении нефинансовых активов»  не имеют расхождений  с показателями  ф.  0503130  баланса  ГАБС.</w:t>
      </w:r>
    </w:p>
    <w:p w:rsidR="00462910" w:rsidRPr="00462910" w:rsidRDefault="00462910" w:rsidP="00462910">
      <w:pPr>
        <w:tabs>
          <w:tab w:val="left" w:pos="1134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62910" w:rsidRPr="0002324C" w:rsidRDefault="00462910" w:rsidP="00462910">
      <w:pPr>
        <w:tabs>
          <w:tab w:val="left" w:pos="1134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2324C">
        <w:rPr>
          <w:rFonts w:ascii="Times New Roman" w:eastAsia="Times New Roman" w:hAnsi="Times New Roman" w:cs="Times New Roman"/>
          <w:b/>
        </w:rPr>
        <w:t xml:space="preserve">9.2 Сведения об использовании </w:t>
      </w:r>
      <w:proofErr w:type="gramStart"/>
      <w:r w:rsidRPr="0002324C">
        <w:rPr>
          <w:rFonts w:ascii="Times New Roman" w:eastAsia="Times New Roman" w:hAnsi="Times New Roman" w:cs="Times New Roman"/>
          <w:b/>
        </w:rPr>
        <w:t>информационно-коммуникационных</w:t>
      </w:r>
      <w:proofErr w:type="gramEnd"/>
    </w:p>
    <w:p w:rsidR="00462910" w:rsidRPr="0002324C" w:rsidRDefault="00462910" w:rsidP="00462910">
      <w:pPr>
        <w:tabs>
          <w:tab w:val="left" w:pos="1134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2324C">
        <w:rPr>
          <w:rFonts w:ascii="Times New Roman" w:eastAsia="Times New Roman" w:hAnsi="Times New Roman" w:cs="Times New Roman"/>
          <w:b/>
        </w:rPr>
        <w:t xml:space="preserve"> технологий </w:t>
      </w:r>
      <w:proofErr w:type="gramStart"/>
      <w:r w:rsidRPr="0002324C">
        <w:rPr>
          <w:rFonts w:ascii="Times New Roman" w:eastAsia="Times New Roman" w:hAnsi="Times New Roman" w:cs="Times New Roman"/>
          <w:b/>
        </w:rPr>
        <w:t xml:space="preserve">( </w:t>
      </w:r>
      <w:proofErr w:type="gramEnd"/>
      <w:r w:rsidRPr="0002324C">
        <w:rPr>
          <w:rFonts w:ascii="Times New Roman" w:eastAsia="Times New Roman" w:hAnsi="Times New Roman" w:cs="Times New Roman"/>
          <w:b/>
        </w:rPr>
        <w:t>0503177).</w:t>
      </w:r>
    </w:p>
    <w:p w:rsidR="00462910" w:rsidRDefault="00462910" w:rsidP="00462910">
      <w:pPr>
        <w:tabs>
          <w:tab w:val="left" w:pos="1134"/>
          <w:tab w:val="right" w:pos="10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62910" w:rsidRPr="001E3D7B" w:rsidRDefault="00462910" w:rsidP="00462910">
      <w:pPr>
        <w:tabs>
          <w:tab w:val="left" w:pos="1134"/>
          <w:tab w:val="righ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D7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E3D7B">
        <w:rPr>
          <w:rFonts w:ascii="Times New Roman" w:eastAsia="Times New Roman" w:hAnsi="Times New Roman" w:cs="Times New Roman"/>
          <w:sz w:val="24"/>
          <w:szCs w:val="24"/>
        </w:rPr>
        <w:t xml:space="preserve"> В 2015 году расходы  н</w:t>
      </w:r>
      <w:r w:rsidRPr="001E3D7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E3D7B" w:rsidRPr="001E3D7B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информационные технологии</w:t>
      </w:r>
      <w:proofErr w:type="gramStart"/>
      <w:r w:rsidR="001E3D7B" w:rsidRPr="001E3D7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1E3D7B" w:rsidRPr="001E3D7B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</w:t>
      </w:r>
      <w:r w:rsidR="001E3D7B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1E3D7B">
        <w:rPr>
          <w:rFonts w:ascii="Times New Roman" w:eastAsia="Times New Roman" w:hAnsi="Times New Roman" w:cs="Times New Roman"/>
          <w:sz w:val="24"/>
          <w:szCs w:val="24"/>
        </w:rPr>
        <w:t xml:space="preserve"> обеспечение</w:t>
      </w:r>
      <w:r w:rsidR="001E3D7B">
        <w:rPr>
          <w:rFonts w:ascii="Times New Roman" w:eastAsia="Times New Roman" w:hAnsi="Times New Roman" w:cs="Times New Roman"/>
          <w:sz w:val="24"/>
          <w:szCs w:val="24"/>
        </w:rPr>
        <w:t xml:space="preserve">  деятельности  УСЗН</w:t>
      </w:r>
      <w:r w:rsidRPr="001E3D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D7B">
        <w:rPr>
          <w:rFonts w:ascii="Times New Roman" w:eastAsia="Times New Roman" w:hAnsi="Times New Roman" w:cs="Times New Roman"/>
          <w:sz w:val="24"/>
          <w:szCs w:val="24"/>
        </w:rPr>
        <w:t xml:space="preserve"> составили 446,2 тыс. рублей. Приобретена вычислительная техника ( орг. Техника, МФ устройство, принтер) -34,4 тыс. рублей</w:t>
      </w:r>
      <w:proofErr w:type="gramStart"/>
      <w:r w:rsidR="001E3D7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1E3D7B">
        <w:rPr>
          <w:rFonts w:ascii="Times New Roman" w:eastAsia="Times New Roman" w:hAnsi="Times New Roman" w:cs="Times New Roman"/>
          <w:sz w:val="24"/>
          <w:szCs w:val="24"/>
        </w:rPr>
        <w:t xml:space="preserve"> произведено обновление программы  системы «Гарант» - 95,6 тыс. рублей , услуги интернет -95,7 тыс. рублей, услуги связи – 111,1 тыс. рублей, лицензия за пользование програм</w:t>
      </w:r>
      <w:r w:rsidR="0002324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E3D7B">
        <w:rPr>
          <w:rFonts w:ascii="Times New Roman" w:eastAsia="Times New Roman" w:hAnsi="Times New Roman" w:cs="Times New Roman"/>
          <w:sz w:val="24"/>
          <w:szCs w:val="24"/>
        </w:rPr>
        <w:t xml:space="preserve">ного продукта для ЭВМ – комплексная бухгалтерская программ СТЭК-  21,9 тыс. рублей,  антивирусная программа – 31,2 тыс. рублей. , сертификат электронная подпись – 23,1 тыс. рублей, система защищённого документооборота «СТЭК_ТРАСТ»- 4,5 тыс. рублей, </w:t>
      </w:r>
      <w:r w:rsidR="0002324C">
        <w:rPr>
          <w:rFonts w:ascii="Times New Roman" w:eastAsia="Times New Roman" w:hAnsi="Times New Roman" w:cs="Times New Roman"/>
          <w:sz w:val="24"/>
          <w:szCs w:val="24"/>
        </w:rPr>
        <w:t xml:space="preserve"> обновление автоматизированной информационной  системы «Семья» -6,0 тыс. рублей,  услуги консультационные по сопровождению  СТЭК- 8,4 тыс. рублей</w:t>
      </w:r>
      <w:proofErr w:type="gramStart"/>
      <w:r w:rsidR="000232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232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02324C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02324C">
        <w:rPr>
          <w:rFonts w:ascii="Times New Roman" w:eastAsia="Times New Roman" w:hAnsi="Times New Roman" w:cs="Times New Roman"/>
          <w:sz w:val="24"/>
          <w:szCs w:val="24"/>
        </w:rPr>
        <w:t xml:space="preserve">емонт орг. Техники – 5,4 тыс. рублей. </w:t>
      </w:r>
    </w:p>
    <w:p w:rsidR="00942448" w:rsidRPr="00942448" w:rsidRDefault="00942448" w:rsidP="00942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978" w:rsidRPr="0002324C" w:rsidRDefault="002B6978" w:rsidP="002B6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2324C">
        <w:rPr>
          <w:rFonts w:ascii="Times New Roman" w:eastAsia="Times New Roman" w:hAnsi="Times New Roman" w:cs="Times New Roman"/>
          <w:b/>
        </w:rPr>
        <w:t xml:space="preserve">                      </w:t>
      </w:r>
      <w:r w:rsidR="002230E5" w:rsidRPr="0002324C">
        <w:rPr>
          <w:rFonts w:ascii="Times New Roman" w:eastAsia="Times New Roman" w:hAnsi="Times New Roman" w:cs="Times New Roman"/>
          <w:b/>
        </w:rPr>
        <w:t xml:space="preserve">                </w:t>
      </w:r>
      <w:r w:rsidR="00462910" w:rsidRPr="0002324C">
        <w:rPr>
          <w:rFonts w:ascii="Times New Roman" w:eastAsia="Times New Roman" w:hAnsi="Times New Roman" w:cs="Times New Roman"/>
          <w:b/>
        </w:rPr>
        <w:t xml:space="preserve">  9.3.</w:t>
      </w:r>
      <w:r w:rsidRPr="0002324C">
        <w:rPr>
          <w:rFonts w:ascii="Times New Roman" w:eastAsia="Times New Roman" w:hAnsi="Times New Roman" w:cs="Times New Roman"/>
          <w:b/>
        </w:rPr>
        <w:t xml:space="preserve"> Анализ Дебиторской  и  Кредиторской задолженности</w:t>
      </w:r>
    </w:p>
    <w:p w:rsidR="002B6978" w:rsidRPr="002230E5" w:rsidRDefault="002B6978" w:rsidP="002B6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6978" w:rsidRDefault="002B6978" w:rsidP="002B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6D3B04">
        <w:rPr>
          <w:rFonts w:ascii="Times New Roman" w:eastAsia="Times New Roman" w:hAnsi="Times New Roman" w:cs="Times New Roman"/>
          <w:sz w:val="24"/>
          <w:szCs w:val="24"/>
        </w:rPr>
        <w:t>Согласно данным годовой бюджетной отчетности  ф. 0503120  «Баланс исполнения бюджета» и ф. 0503169  «Сведения о дебиторско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и кредиторской задолженности»,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задолженность 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2B6978" w:rsidRPr="006D3B04" w:rsidRDefault="002B6978" w:rsidP="002B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978" w:rsidRPr="006D3B04" w:rsidRDefault="002B6978" w:rsidP="002B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B04">
        <w:rPr>
          <w:rFonts w:ascii="Times New Roman" w:eastAsia="Times New Roman" w:hAnsi="Times New Roman" w:cs="Times New Roman"/>
          <w:sz w:val="24"/>
          <w:szCs w:val="24"/>
        </w:rPr>
        <w:t xml:space="preserve">           1.На  01.01.2015г. Дебиторская  задолженность (</w:t>
      </w:r>
      <w:proofErr w:type="spellStart"/>
      <w:r w:rsidRPr="006D3B04">
        <w:rPr>
          <w:rFonts w:ascii="Times New Roman" w:eastAsia="Times New Roman" w:hAnsi="Times New Roman" w:cs="Times New Roman"/>
          <w:sz w:val="24"/>
          <w:szCs w:val="24"/>
        </w:rPr>
        <w:t>Дт</w:t>
      </w:r>
      <w:proofErr w:type="spellEnd"/>
      <w:r w:rsidRPr="006D3B04">
        <w:rPr>
          <w:rFonts w:ascii="Times New Roman" w:eastAsia="Times New Roman" w:hAnsi="Times New Roman" w:cs="Times New Roman"/>
          <w:sz w:val="24"/>
          <w:szCs w:val="24"/>
        </w:rPr>
        <w:t xml:space="preserve">)  составляла </w:t>
      </w:r>
      <w:r w:rsidR="00AE465A">
        <w:rPr>
          <w:rFonts w:ascii="Times New Roman" w:eastAsia="Times New Roman" w:hAnsi="Times New Roman" w:cs="Times New Roman"/>
          <w:sz w:val="24"/>
          <w:szCs w:val="24"/>
        </w:rPr>
        <w:t>1045,9</w:t>
      </w:r>
      <w:r w:rsidRPr="006D3B04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на конец отчетного  периода,  на 31.12.2015г.,  </w:t>
      </w:r>
      <w:proofErr w:type="spellStart"/>
      <w:r w:rsidRPr="006D3B04">
        <w:rPr>
          <w:rFonts w:ascii="Times New Roman" w:eastAsia="Times New Roman" w:hAnsi="Times New Roman" w:cs="Times New Roman"/>
          <w:sz w:val="24"/>
          <w:szCs w:val="24"/>
        </w:rPr>
        <w:t>Дт</w:t>
      </w:r>
      <w:proofErr w:type="spellEnd"/>
      <w:r w:rsidRPr="006D3B04">
        <w:rPr>
          <w:rFonts w:ascii="Times New Roman" w:eastAsia="Times New Roman" w:hAnsi="Times New Roman" w:cs="Times New Roman"/>
          <w:sz w:val="24"/>
          <w:szCs w:val="24"/>
        </w:rPr>
        <w:t xml:space="preserve">  задолженность </w:t>
      </w:r>
      <w:r w:rsidR="00AE465A">
        <w:rPr>
          <w:rFonts w:ascii="Times New Roman" w:eastAsia="Times New Roman" w:hAnsi="Times New Roman" w:cs="Times New Roman"/>
          <w:sz w:val="24"/>
          <w:szCs w:val="24"/>
        </w:rPr>
        <w:t xml:space="preserve"> увеличилась  на 428,7тыс. рублей и  составила  1474,6</w:t>
      </w:r>
      <w:r w:rsidRPr="006D3B04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proofErr w:type="gramStart"/>
      <w:r w:rsidRPr="006D3B04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  <w:proofErr w:type="gramEnd"/>
      <w:r w:rsidR="00AE4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792C">
        <w:rPr>
          <w:rFonts w:ascii="Times New Roman" w:eastAsia="Times New Roman" w:hAnsi="Times New Roman" w:cs="Times New Roman"/>
          <w:sz w:val="24"/>
          <w:szCs w:val="24"/>
        </w:rPr>
        <w:t>Дт</w:t>
      </w:r>
      <w:proofErr w:type="spellEnd"/>
      <w:r w:rsidR="00BB792C">
        <w:rPr>
          <w:rFonts w:ascii="Times New Roman" w:eastAsia="Times New Roman" w:hAnsi="Times New Roman" w:cs="Times New Roman"/>
          <w:sz w:val="24"/>
          <w:szCs w:val="24"/>
        </w:rPr>
        <w:t xml:space="preserve"> задолженность отразилась на счетах:</w:t>
      </w:r>
    </w:p>
    <w:p w:rsidR="00AE465A" w:rsidRDefault="00BB792C" w:rsidP="002B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B6978" w:rsidRPr="006D3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978" w:rsidRPr="00641A37">
        <w:rPr>
          <w:rFonts w:ascii="Times New Roman" w:eastAsia="Times New Roman" w:hAnsi="Times New Roman" w:cs="Times New Roman"/>
          <w:b/>
          <w:sz w:val="24"/>
          <w:szCs w:val="24"/>
        </w:rPr>
        <w:t>206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B6978" w:rsidRPr="006D3B04">
        <w:rPr>
          <w:rFonts w:ascii="Times New Roman" w:eastAsia="Times New Roman" w:hAnsi="Times New Roman" w:cs="Times New Roman"/>
          <w:sz w:val="24"/>
          <w:szCs w:val="24"/>
        </w:rPr>
        <w:t>-  расчеты</w:t>
      </w:r>
      <w:r w:rsidR="002B6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65A">
        <w:rPr>
          <w:rFonts w:ascii="Times New Roman" w:eastAsia="Times New Roman" w:hAnsi="Times New Roman" w:cs="Times New Roman"/>
          <w:sz w:val="24"/>
          <w:szCs w:val="24"/>
        </w:rPr>
        <w:t xml:space="preserve">по выданным авансам в сумме </w:t>
      </w:r>
      <w:r w:rsidR="00641A37">
        <w:rPr>
          <w:rFonts w:ascii="Times New Roman" w:eastAsia="Times New Roman" w:hAnsi="Times New Roman" w:cs="Times New Roman"/>
          <w:sz w:val="24"/>
          <w:szCs w:val="24"/>
        </w:rPr>
        <w:t>1470,4</w:t>
      </w:r>
      <w:r w:rsidR="002B6978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AE465A">
        <w:rPr>
          <w:rFonts w:ascii="Times New Roman" w:eastAsia="Times New Roman" w:hAnsi="Times New Roman" w:cs="Times New Roman"/>
          <w:sz w:val="24"/>
          <w:szCs w:val="24"/>
        </w:rPr>
        <w:t xml:space="preserve">, вся </w:t>
      </w:r>
      <w:proofErr w:type="spellStart"/>
      <w:r w:rsidR="00AE465A">
        <w:rPr>
          <w:rFonts w:ascii="Times New Roman" w:eastAsia="Times New Roman" w:hAnsi="Times New Roman" w:cs="Times New Roman"/>
          <w:sz w:val="24"/>
          <w:szCs w:val="24"/>
        </w:rPr>
        <w:t>Дт</w:t>
      </w:r>
      <w:proofErr w:type="spellEnd"/>
      <w:r w:rsidR="00AE465A">
        <w:rPr>
          <w:rFonts w:ascii="Times New Roman" w:eastAsia="Times New Roman" w:hAnsi="Times New Roman" w:cs="Times New Roman"/>
          <w:sz w:val="24"/>
          <w:szCs w:val="24"/>
        </w:rPr>
        <w:t xml:space="preserve"> задолженность текущая</w:t>
      </w:r>
      <w:proofErr w:type="gramStart"/>
      <w:r w:rsidR="00AE465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0146B3" w:rsidRDefault="000146B3" w:rsidP="002B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-1463,6 тыс. рублей   задолженность ФГУП «Почта России»  перед УСЗН по выплате гражданам социальных выплат (ЕДВ за январь 2016г.; субсидии</w:t>
      </w:r>
      <w:r w:rsidR="000E4E5C">
        <w:rPr>
          <w:rFonts w:ascii="Times New Roman" w:eastAsia="Times New Roman" w:hAnsi="Times New Roman" w:cs="Times New Roman"/>
          <w:sz w:val="24"/>
          <w:szCs w:val="24"/>
        </w:rPr>
        <w:t xml:space="preserve"> на оплату ЖКУ, пособие на погребе</w:t>
      </w:r>
      <w:r>
        <w:rPr>
          <w:rFonts w:ascii="Times New Roman" w:eastAsia="Times New Roman" w:hAnsi="Times New Roman" w:cs="Times New Roman"/>
          <w:sz w:val="24"/>
          <w:szCs w:val="24"/>
        </w:rPr>
        <w:t>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компенсация расходов на оплату ЖКУ  отдельным категориям граж</w:t>
      </w:r>
      <w:r w:rsidR="005B40D1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ан);</w:t>
      </w:r>
    </w:p>
    <w:p w:rsidR="000146B3" w:rsidRDefault="000146B3" w:rsidP="002B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-1,1 тыс. рублей  ФГУП «Почта России»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услу</w:t>
      </w:r>
      <w:r w:rsidR="00D67AE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D67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доставке социальных выплат (ЕДВ, пособие на погребение, субсидий на оплату ЖКУ)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BB792C" w:rsidRDefault="000146B3" w:rsidP="002B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E465A">
        <w:rPr>
          <w:rFonts w:ascii="Times New Roman" w:eastAsia="Times New Roman" w:hAnsi="Times New Roman" w:cs="Times New Roman"/>
          <w:sz w:val="24"/>
          <w:szCs w:val="24"/>
        </w:rPr>
        <w:t>5,6 тыс. рублей предоплат</w:t>
      </w:r>
      <w:proofErr w:type="gramStart"/>
      <w:r w:rsidR="00AE465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1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65A">
        <w:rPr>
          <w:rFonts w:ascii="Times New Roman" w:eastAsia="Times New Roman" w:hAnsi="Times New Roman" w:cs="Times New Roman"/>
          <w:sz w:val="24"/>
          <w:szCs w:val="24"/>
        </w:rPr>
        <w:t xml:space="preserve"> ООО</w:t>
      </w:r>
      <w:proofErr w:type="gramEnd"/>
      <w:r w:rsidR="00AE465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AE465A">
        <w:rPr>
          <w:rFonts w:ascii="Times New Roman" w:eastAsia="Times New Roman" w:hAnsi="Times New Roman" w:cs="Times New Roman"/>
          <w:sz w:val="24"/>
          <w:szCs w:val="24"/>
        </w:rPr>
        <w:t>Челябэнергосбыт</w:t>
      </w:r>
      <w:proofErr w:type="spellEnd"/>
      <w:r w:rsidR="00AE465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B69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792C" w:rsidRDefault="00641A37" w:rsidP="002B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B792C" w:rsidRPr="00641A37">
        <w:rPr>
          <w:rFonts w:ascii="Times New Roman" w:eastAsia="Times New Roman" w:hAnsi="Times New Roman" w:cs="Times New Roman"/>
          <w:b/>
          <w:sz w:val="24"/>
          <w:szCs w:val="24"/>
        </w:rPr>
        <w:t xml:space="preserve"> 303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сч</w:t>
      </w:r>
      <w:proofErr w:type="spellEnd"/>
      <w:r w:rsidR="00BB792C">
        <w:rPr>
          <w:rFonts w:ascii="Times New Roman" w:eastAsia="Times New Roman" w:hAnsi="Times New Roman" w:cs="Times New Roman"/>
          <w:sz w:val="24"/>
          <w:szCs w:val="24"/>
        </w:rPr>
        <w:t xml:space="preserve"> «расчёты по платежам в бюджет»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 4,2</w:t>
      </w:r>
      <w:r w:rsidR="00BB792C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BB792C" w:rsidRDefault="00BB792C" w:rsidP="002B69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92C" w:rsidRDefault="002B6978" w:rsidP="00BB7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 01.01.2016</w:t>
      </w:r>
      <w:r w:rsidRPr="006D3B04">
        <w:rPr>
          <w:rFonts w:ascii="Times New Roman" w:eastAsia="Times New Roman" w:hAnsi="Times New Roman" w:cs="Times New Roman"/>
          <w:sz w:val="24"/>
          <w:szCs w:val="24"/>
        </w:rPr>
        <w:t xml:space="preserve"> года Кредиторская задолженность </w:t>
      </w:r>
      <w:r w:rsidR="00BB792C">
        <w:rPr>
          <w:rFonts w:ascii="Times New Roman" w:eastAsia="Times New Roman" w:hAnsi="Times New Roman" w:cs="Times New Roman"/>
          <w:sz w:val="24"/>
          <w:szCs w:val="24"/>
        </w:rPr>
        <w:t xml:space="preserve"> составляет  34,4 тыс. рублей, </w:t>
      </w:r>
      <w:proofErr w:type="spellStart"/>
      <w:r w:rsidR="00BB792C">
        <w:rPr>
          <w:rFonts w:ascii="Times New Roman" w:eastAsia="Times New Roman" w:hAnsi="Times New Roman" w:cs="Times New Roman"/>
          <w:sz w:val="24"/>
          <w:szCs w:val="24"/>
        </w:rPr>
        <w:t>Кт</w:t>
      </w:r>
      <w:proofErr w:type="spellEnd"/>
      <w:r w:rsidR="00BB792C">
        <w:rPr>
          <w:rFonts w:ascii="Times New Roman" w:eastAsia="Times New Roman" w:hAnsi="Times New Roman" w:cs="Times New Roman"/>
          <w:sz w:val="24"/>
          <w:szCs w:val="24"/>
        </w:rPr>
        <w:t xml:space="preserve"> задолженность текущая</w:t>
      </w:r>
      <w:proofErr w:type="gramStart"/>
      <w:r w:rsidR="00BB792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BB792C">
        <w:rPr>
          <w:rFonts w:ascii="Times New Roman" w:eastAsia="Times New Roman" w:hAnsi="Times New Roman" w:cs="Times New Roman"/>
          <w:sz w:val="24"/>
          <w:szCs w:val="24"/>
        </w:rPr>
        <w:t xml:space="preserve"> отразилась на счетах :</w:t>
      </w:r>
    </w:p>
    <w:p w:rsidR="00BB792C" w:rsidRDefault="00BB792C" w:rsidP="00BB7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- 302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«расчёты по принятым обязательствам»  в сумме 32,4 тыс. рублей  задолженность перед гражданами  по выплате субсидий на оплату ЖКУ, компенсационных выплат на оплату ЖКУ ВТ, ЕДВ ВТ, ЕДВ ВТ ЧО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не оплата гражданам ФГУП  «Почта России»)</w:t>
      </w:r>
      <w:r w:rsidR="000E4E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792C" w:rsidRDefault="00BB792C" w:rsidP="00BB7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- 303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«расчёты по платежам в бюджет» </w:t>
      </w:r>
      <w:r w:rsidR="001F1831">
        <w:rPr>
          <w:rFonts w:ascii="Times New Roman" w:eastAsia="Times New Roman" w:hAnsi="Times New Roman" w:cs="Times New Roman"/>
          <w:sz w:val="24"/>
          <w:szCs w:val="24"/>
        </w:rPr>
        <w:t xml:space="preserve"> в сумме 1,9 тыс. рублей   задолженность перед  ИФНС  за 4кв. 2015г.   по транспортному налогу, земельному налогу.</w:t>
      </w:r>
    </w:p>
    <w:p w:rsidR="001F1831" w:rsidRDefault="001F1831" w:rsidP="00BB7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831" w:rsidRPr="00821A1A" w:rsidRDefault="002B6978" w:rsidP="001F1831">
      <w:pPr>
        <w:tabs>
          <w:tab w:val="left" w:pos="885"/>
          <w:tab w:val="left" w:pos="6165"/>
          <w:tab w:val="left" w:pos="6660"/>
          <w:tab w:val="right" w:pos="102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F1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10. </w:t>
      </w:r>
      <w:r w:rsidR="001F1831" w:rsidRPr="00821A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бюджетной отчётности.</w:t>
      </w:r>
    </w:p>
    <w:p w:rsidR="001F1831" w:rsidRPr="00F44261" w:rsidRDefault="001F1831" w:rsidP="001F1831">
      <w:pPr>
        <w:tabs>
          <w:tab w:val="left" w:pos="885"/>
          <w:tab w:val="left" w:pos="6165"/>
          <w:tab w:val="left" w:pos="6660"/>
          <w:tab w:val="right" w:pos="102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31" w:rsidRDefault="00BE31F9" w:rsidP="001F1831">
      <w:pPr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F1831" w:rsidRPr="00BA63AF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="001F1831">
        <w:rPr>
          <w:rFonts w:ascii="Times New Roman" w:eastAsia="Times New Roman" w:hAnsi="Times New Roman" w:cs="Times New Roman"/>
          <w:sz w:val="24"/>
          <w:szCs w:val="24"/>
        </w:rPr>
        <w:t>ой отчёт  УСЗН  за 2015</w:t>
      </w:r>
      <w:r w:rsidR="001F1831" w:rsidRPr="00BA63AF">
        <w:rPr>
          <w:rFonts w:ascii="Times New Roman" w:eastAsia="Times New Roman" w:hAnsi="Times New Roman" w:cs="Times New Roman"/>
          <w:sz w:val="24"/>
          <w:szCs w:val="24"/>
        </w:rPr>
        <w:t xml:space="preserve"> год  соответствует</w:t>
      </w:r>
      <w:r w:rsidR="001F1831">
        <w:rPr>
          <w:rFonts w:ascii="Times New Roman" w:eastAsia="Times New Roman" w:hAnsi="Times New Roman" w:cs="Times New Roman"/>
          <w:sz w:val="24"/>
          <w:szCs w:val="24"/>
        </w:rPr>
        <w:t xml:space="preserve"> перечню и формам</w:t>
      </w:r>
      <w:proofErr w:type="gramStart"/>
      <w:r w:rsidR="001F183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1F1831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предусмотренным для  ГАБС  Инструкцией о порядке составления и предоставления годовой, квартальной и месячной  бюджетной отчётности об исполнении бюджетов  системы РФ , утверждённой приказом Минфина России от 28.12.2010г. №191н ( с изменениями от 22.10.2012г.).</w:t>
      </w:r>
    </w:p>
    <w:p w:rsidR="001F1831" w:rsidRDefault="001F1831" w:rsidP="001F1831">
      <w:pPr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Выборочно проверены  контрольные соотношения   между показателями форм бюджетной отчётности главного распорядителя ( получателя) средств бюджета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</w:t>
      </w:r>
    </w:p>
    <w:p w:rsidR="001F1831" w:rsidRDefault="001F1831" w:rsidP="0002324C">
      <w:pPr>
        <w:tabs>
          <w:tab w:val="left" w:pos="26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Письму казначейства РФ от 31.01.2012г. № 42-7.4-18\2.1-28. На основании вышеуказанного письма осуществлялась проверка соответствия показателей баланса исполнения бюджета (ф. 0503130),справки по заключении счетов бюджетного учёта отчётного финансового года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ф. 0503110), отчёта о финансовых результатах (ф. 0503121),  об исполнении  бюджета за 2015 год ( ф. 05031127), сведении о движении нефинансовых активов (ф. 0503168),  сведений по дебиторской и кредиторской задолженности (ф. 0503169) несоответствия показателей не установлено.</w:t>
      </w:r>
    </w:p>
    <w:p w:rsidR="005B40D1" w:rsidRDefault="005B40D1" w:rsidP="001F1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F1831" w:rsidRPr="007E3116" w:rsidRDefault="001F1831" w:rsidP="001F1831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7E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Достоверность отчетных данных ГАБС, отраженных в своде</w:t>
      </w:r>
    </w:p>
    <w:p w:rsidR="001F1831" w:rsidRPr="007E3116" w:rsidRDefault="001F1831" w:rsidP="001F1831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годовой бюджетной отчетности Еткульского муниципального района.</w:t>
      </w:r>
    </w:p>
    <w:p w:rsidR="001F1831" w:rsidRPr="007E3116" w:rsidRDefault="001F1831" w:rsidP="001F1831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831" w:rsidRPr="00CF5D7B" w:rsidRDefault="001F1831" w:rsidP="001F1831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Данные  годовой </w:t>
      </w:r>
      <w:r w:rsid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отчетности  ГАБС – 646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31F9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 сверены с данными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годового отчета  исполнения бюджета Еткульского муниципального района  по ведомственной классификации расходов бюджета, расхождений не установлено.</w:t>
      </w:r>
    </w:p>
    <w:p w:rsidR="001F1831" w:rsidRPr="000E4E5C" w:rsidRDefault="000E4E5C" w:rsidP="000E4E5C">
      <w:pPr>
        <w:tabs>
          <w:tab w:val="left" w:pos="76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</w:t>
      </w:r>
      <w:r w:rsidRPr="000E4E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Таблица № 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997"/>
        <w:gridCol w:w="4137"/>
        <w:gridCol w:w="1527"/>
        <w:gridCol w:w="1425"/>
        <w:gridCol w:w="658"/>
      </w:tblGrid>
      <w:tr w:rsidR="001F1831" w:rsidRPr="00CF5D7B" w:rsidTr="002230E5">
        <w:trPr>
          <w:trHeight w:val="419"/>
        </w:trPr>
        <w:tc>
          <w:tcPr>
            <w:tcW w:w="719" w:type="dxa"/>
          </w:tcPr>
          <w:p w:rsidR="001F1831" w:rsidRPr="00CF5D7B" w:rsidRDefault="001F1831" w:rsidP="0046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997" w:type="dxa"/>
          </w:tcPr>
          <w:p w:rsidR="001F1831" w:rsidRPr="00CF5D7B" w:rsidRDefault="001F1831" w:rsidP="0046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4137" w:type="dxa"/>
          </w:tcPr>
          <w:p w:rsidR="001F1831" w:rsidRPr="00CF5D7B" w:rsidRDefault="001F1831" w:rsidP="0046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F1831" w:rsidRPr="00CF5D7B" w:rsidRDefault="001F1831" w:rsidP="0046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КФ</w:t>
            </w:r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527" w:type="dxa"/>
          </w:tcPr>
          <w:p w:rsidR="001F1831" w:rsidRPr="00CF5D7B" w:rsidRDefault="005B40D1" w:rsidP="0046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</w:p>
          <w:p w:rsidR="001F1831" w:rsidRPr="00CF5D7B" w:rsidRDefault="001F1831" w:rsidP="005B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ассигнований</w:t>
            </w:r>
            <w:r w:rsidR="005B40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</w:t>
            </w:r>
            <w:proofErr w:type="spellStart"/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  <w:proofErr w:type="spellEnd"/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5" w:type="dxa"/>
          </w:tcPr>
          <w:p w:rsidR="001F1831" w:rsidRPr="00CF5D7B" w:rsidRDefault="001F1831" w:rsidP="0046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  <w:p w:rsidR="001F1831" w:rsidRDefault="005B40D1" w:rsidP="0046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1F1831"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ссигнований</w:t>
            </w:r>
          </w:p>
          <w:p w:rsidR="005B40D1" w:rsidRPr="00CF5D7B" w:rsidRDefault="005B40D1" w:rsidP="0046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58" w:type="dxa"/>
          </w:tcPr>
          <w:p w:rsidR="001F1831" w:rsidRPr="00CF5D7B" w:rsidRDefault="001F1831" w:rsidP="0046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1F1831" w:rsidRPr="00CF5D7B" w:rsidTr="002230E5">
        <w:tc>
          <w:tcPr>
            <w:tcW w:w="719" w:type="dxa"/>
          </w:tcPr>
          <w:p w:rsidR="001F1831" w:rsidRPr="00CF5D7B" w:rsidRDefault="00BE31F9" w:rsidP="0046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</w:tcPr>
          <w:p w:rsidR="001F1831" w:rsidRPr="00CF5D7B" w:rsidRDefault="005D521F" w:rsidP="0046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37" w:type="dxa"/>
          </w:tcPr>
          <w:p w:rsidR="001F1831" w:rsidRPr="00CF5D7B" w:rsidRDefault="005D521F" w:rsidP="0046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обслуживание населения</w:t>
            </w:r>
          </w:p>
        </w:tc>
        <w:tc>
          <w:tcPr>
            <w:tcW w:w="1527" w:type="dxa"/>
          </w:tcPr>
          <w:p w:rsidR="001F1831" w:rsidRPr="00CF5D7B" w:rsidRDefault="005D521F" w:rsidP="0046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13775,7</w:t>
            </w:r>
          </w:p>
        </w:tc>
        <w:tc>
          <w:tcPr>
            <w:tcW w:w="1425" w:type="dxa"/>
          </w:tcPr>
          <w:p w:rsidR="001F1831" w:rsidRPr="00CF5D7B" w:rsidRDefault="005D521F" w:rsidP="0046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13775,7</w:t>
            </w:r>
          </w:p>
        </w:tc>
        <w:tc>
          <w:tcPr>
            <w:tcW w:w="658" w:type="dxa"/>
          </w:tcPr>
          <w:p w:rsidR="001F1831" w:rsidRPr="00CF5D7B" w:rsidRDefault="005D521F" w:rsidP="0046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1F1831" w:rsidRPr="00CF5D7B" w:rsidTr="002230E5">
        <w:tc>
          <w:tcPr>
            <w:tcW w:w="719" w:type="dxa"/>
          </w:tcPr>
          <w:p w:rsidR="001F1831" w:rsidRPr="00CF5D7B" w:rsidRDefault="005D521F" w:rsidP="0046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</w:tcPr>
          <w:p w:rsidR="001F1831" w:rsidRPr="00CF5D7B" w:rsidRDefault="005D521F" w:rsidP="0046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37" w:type="dxa"/>
          </w:tcPr>
          <w:p w:rsidR="001F1831" w:rsidRPr="00CF5D7B" w:rsidRDefault="005D521F" w:rsidP="0046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527" w:type="dxa"/>
          </w:tcPr>
          <w:p w:rsidR="001F1831" w:rsidRPr="00CF5D7B" w:rsidRDefault="002230E5" w:rsidP="0046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104451,4</w:t>
            </w:r>
          </w:p>
        </w:tc>
        <w:tc>
          <w:tcPr>
            <w:tcW w:w="1425" w:type="dxa"/>
          </w:tcPr>
          <w:p w:rsidR="001F1831" w:rsidRPr="00CF5D7B" w:rsidRDefault="002230E5" w:rsidP="0046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103419,3</w:t>
            </w:r>
          </w:p>
        </w:tc>
        <w:tc>
          <w:tcPr>
            <w:tcW w:w="658" w:type="dxa"/>
          </w:tcPr>
          <w:p w:rsidR="001F1831" w:rsidRPr="00CF5D7B" w:rsidRDefault="002230E5" w:rsidP="0046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1F1831" w:rsidRPr="00CF5D7B" w:rsidTr="002230E5">
        <w:tc>
          <w:tcPr>
            <w:tcW w:w="719" w:type="dxa"/>
          </w:tcPr>
          <w:p w:rsidR="001F1831" w:rsidRPr="00CF5D7B" w:rsidRDefault="001F1831" w:rsidP="0046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D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</w:tcPr>
          <w:p w:rsidR="001F1831" w:rsidRPr="00CF5D7B" w:rsidRDefault="002230E5" w:rsidP="0046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37" w:type="dxa"/>
          </w:tcPr>
          <w:p w:rsidR="001F1831" w:rsidRPr="00CF5D7B" w:rsidRDefault="002230E5" w:rsidP="0046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527" w:type="dxa"/>
          </w:tcPr>
          <w:p w:rsidR="001F1831" w:rsidRPr="00CF5D7B" w:rsidRDefault="002230E5" w:rsidP="0046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14307,4</w:t>
            </w:r>
          </w:p>
        </w:tc>
        <w:tc>
          <w:tcPr>
            <w:tcW w:w="1425" w:type="dxa"/>
          </w:tcPr>
          <w:p w:rsidR="001F1831" w:rsidRPr="00CF5D7B" w:rsidRDefault="002230E5" w:rsidP="0046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14307,4</w:t>
            </w:r>
          </w:p>
        </w:tc>
        <w:tc>
          <w:tcPr>
            <w:tcW w:w="658" w:type="dxa"/>
          </w:tcPr>
          <w:p w:rsidR="001F1831" w:rsidRPr="00CF5D7B" w:rsidRDefault="002230E5" w:rsidP="0046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1F1831" w:rsidRPr="00CF5D7B" w:rsidTr="002230E5">
        <w:tc>
          <w:tcPr>
            <w:tcW w:w="719" w:type="dxa"/>
          </w:tcPr>
          <w:p w:rsidR="001F1831" w:rsidRPr="00CF5D7B" w:rsidRDefault="002230E5" w:rsidP="0046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7" w:type="dxa"/>
          </w:tcPr>
          <w:p w:rsidR="001F1831" w:rsidRPr="00CF5D7B" w:rsidRDefault="002230E5" w:rsidP="0046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37" w:type="dxa"/>
          </w:tcPr>
          <w:p w:rsidR="001F1831" w:rsidRPr="002230E5" w:rsidRDefault="002230E5" w:rsidP="0046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3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 соц. вопросы</w:t>
            </w:r>
          </w:p>
        </w:tc>
        <w:tc>
          <w:tcPr>
            <w:tcW w:w="1527" w:type="dxa"/>
          </w:tcPr>
          <w:p w:rsidR="001F1831" w:rsidRPr="002230E5" w:rsidRDefault="002230E5" w:rsidP="0046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3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12548,1</w:t>
            </w:r>
          </w:p>
        </w:tc>
        <w:tc>
          <w:tcPr>
            <w:tcW w:w="1425" w:type="dxa"/>
          </w:tcPr>
          <w:p w:rsidR="001F1831" w:rsidRPr="002230E5" w:rsidRDefault="002230E5" w:rsidP="0046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3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12530,3</w:t>
            </w:r>
          </w:p>
        </w:tc>
        <w:tc>
          <w:tcPr>
            <w:tcW w:w="658" w:type="dxa"/>
          </w:tcPr>
          <w:p w:rsidR="001F1831" w:rsidRPr="002230E5" w:rsidRDefault="002230E5" w:rsidP="0046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3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2230E5" w:rsidRPr="00CF5D7B" w:rsidTr="002230E5">
        <w:tc>
          <w:tcPr>
            <w:tcW w:w="719" w:type="dxa"/>
          </w:tcPr>
          <w:p w:rsidR="002230E5" w:rsidRDefault="002230E5" w:rsidP="0046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2230E5" w:rsidRDefault="002230E5" w:rsidP="0046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137" w:type="dxa"/>
          </w:tcPr>
          <w:p w:rsidR="002230E5" w:rsidRDefault="002230E5" w:rsidP="00462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</w:tcPr>
          <w:p w:rsidR="002230E5" w:rsidRDefault="002230E5" w:rsidP="0046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145082,7</w:t>
            </w:r>
          </w:p>
        </w:tc>
        <w:tc>
          <w:tcPr>
            <w:tcW w:w="1425" w:type="dxa"/>
          </w:tcPr>
          <w:p w:rsidR="002230E5" w:rsidRDefault="002230E5" w:rsidP="0046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144032,9</w:t>
            </w:r>
          </w:p>
        </w:tc>
        <w:tc>
          <w:tcPr>
            <w:tcW w:w="658" w:type="dxa"/>
          </w:tcPr>
          <w:p w:rsidR="002230E5" w:rsidRDefault="002230E5" w:rsidP="0046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99,2</w:t>
            </w:r>
          </w:p>
        </w:tc>
      </w:tr>
    </w:tbl>
    <w:p w:rsidR="001F1831" w:rsidRDefault="001F1831" w:rsidP="001F1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F1831" w:rsidRPr="001015D4" w:rsidRDefault="001F1831" w:rsidP="001F1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12</w:t>
      </w:r>
      <w:r w:rsidRPr="001015D4">
        <w:rPr>
          <w:rFonts w:ascii="Times New Roman" w:eastAsia="Times New Roman" w:hAnsi="Times New Roman" w:cs="Times New Roman"/>
          <w:b/>
          <w:lang w:eastAsia="ru-RU"/>
        </w:rPr>
        <w:t xml:space="preserve">.  ЗАКЛЮЧЕНИЕ </w:t>
      </w:r>
    </w:p>
    <w:p w:rsidR="001F1831" w:rsidRDefault="001F1831" w:rsidP="001F1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31" w:rsidRDefault="001F1831" w:rsidP="005B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372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ьтатам внешней проверки годовой бюджетной отчётности</w:t>
      </w:r>
      <w:r w:rsidRPr="0023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чёта  </w:t>
      </w:r>
      <w:r w:rsid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социальной защиты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2015</w:t>
      </w:r>
      <w:r w:rsidRPr="0023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proofErr w:type="gramStart"/>
      <w:r w:rsidRPr="0023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37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контрольно-рев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изионной  комиссией Еткульского муниципального района  установлено :</w:t>
      </w:r>
    </w:p>
    <w:p w:rsidR="000E4E5C" w:rsidRPr="007E3116" w:rsidRDefault="000E4E5C" w:rsidP="005B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31" w:rsidRDefault="001F1831" w:rsidP="001F1831">
      <w:pPr>
        <w:tabs>
          <w:tab w:val="left" w:pos="93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</w:t>
      </w:r>
      <w:r w:rsid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УСЗН</w:t>
      </w:r>
      <w:proofErr w:type="gramStart"/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 исполнены  цели и задачи  бюджетной и налоговой политики . Исполнение бюджета осуществлялось в рамках , установленных требованиями БК РФ , инструкциями МФ РФ </w:t>
      </w:r>
      <w:r w:rsidRPr="003A4A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06.12.2010г.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191н, решениями Собрания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Еткульского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от 24.12.2014г. № 610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Еткульско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района на 2015 год и плановый период  , окончательно от 31.12.2015г. № 43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 внесение изменений  в решение Собрания депутатов   Еткульск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района  от 24.12.2014г. № 610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бюджете Еткульско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муниципального района на 2015г и плановый период 2016-2017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г.г.».</w:t>
      </w:r>
    </w:p>
    <w:p w:rsidR="000E4E5C" w:rsidRPr="007E3116" w:rsidRDefault="000E4E5C" w:rsidP="001F1831">
      <w:pPr>
        <w:tabs>
          <w:tab w:val="left" w:pos="93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831" w:rsidRPr="007E3116" w:rsidRDefault="001F1831" w:rsidP="001F1831">
      <w:pPr>
        <w:tabs>
          <w:tab w:val="left" w:pos="930"/>
        </w:tabs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Внешняя проверка годового отч</w:t>
      </w:r>
      <w:r w:rsid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 об исполнении сметы УСЗН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2015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подтверждает его достоверность в том, что назначенные бюджетны</w:t>
      </w:r>
      <w:r w:rsid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>е ассигнования  в сумме 145082,7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  исполнены </w:t>
      </w:r>
      <w:r w:rsid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99,2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 (</w:t>
      </w:r>
      <w:r w:rsid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144032,9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годов</w:t>
      </w:r>
      <w:r w:rsid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отчета об исполнении сметы УСЗН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соответствуют  показателям  исполнения бюджета  Еткульского муниципального района.</w:t>
      </w:r>
    </w:p>
    <w:p w:rsidR="001F1831" w:rsidRPr="007E3116" w:rsidRDefault="001F1831" w:rsidP="001F1831">
      <w:pPr>
        <w:tabs>
          <w:tab w:val="left" w:pos="930"/>
        </w:tabs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нарушений,  влияющих на достоверность годового отчета об исполнении сметы</w:t>
      </w:r>
      <w:r w:rsidR="0022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социальной защиты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установлено.</w:t>
      </w:r>
    </w:p>
    <w:p w:rsidR="001F1831" w:rsidRPr="007E3116" w:rsidRDefault="001F1831" w:rsidP="001F1831">
      <w:pPr>
        <w:tabs>
          <w:tab w:val="left" w:pos="1740"/>
        </w:tabs>
        <w:spacing w:after="0" w:line="240" w:lineRule="auto"/>
        <w:ind w:left="360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31" w:rsidRPr="007E3116" w:rsidRDefault="001F1831" w:rsidP="001F1831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бухгалтер-ревизор </w:t>
      </w:r>
      <w:proofErr w:type="gramStart"/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контрольно-ревизионной</w:t>
      </w:r>
      <w:proofErr w:type="gramEnd"/>
    </w:p>
    <w:p w:rsidR="001F1831" w:rsidRPr="007E3116" w:rsidRDefault="001F1831" w:rsidP="001F1831">
      <w:pPr>
        <w:tabs>
          <w:tab w:val="left" w:pos="1740"/>
        </w:tabs>
        <w:spacing w:after="0" w:line="240" w:lineRule="auto"/>
        <w:ind w:left="360" w:hanging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Еткульского муниципального района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E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Н.Ю. Трапезникова</w:t>
      </w:r>
    </w:p>
    <w:p w:rsidR="001F1831" w:rsidRPr="007E3116" w:rsidRDefault="001F1831" w:rsidP="001F1831">
      <w:pPr>
        <w:spacing w:after="0" w:line="240" w:lineRule="auto"/>
        <w:ind w:hanging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31" w:rsidRPr="007E3116" w:rsidRDefault="001F1831" w:rsidP="001F1831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831" w:rsidRPr="007E3116" w:rsidRDefault="001F1831" w:rsidP="001F18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831" w:rsidRPr="007E3116" w:rsidRDefault="001F1831" w:rsidP="001F18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978" w:rsidRPr="006D3B04" w:rsidRDefault="002B6978" w:rsidP="00BB7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B6978" w:rsidRPr="006D3B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BFE" w:rsidRDefault="008A1BFE" w:rsidP="00AD1D5F">
      <w:pPr>
        <w:spacing w:after="0" w:line="240" w:lineRule="auto"/>
      </w:pPr>
      <w:r>
        <w:separator/>
      </w:r>
    </w:p>
  </w:endnote>
  <w:endnote w:type="continuationSeparator" w:id="0">
    <w:p w:rsidR="008A1BFE" w:rsidRDefault="008A1BFE" w:rsidP="00AD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121820"/>
      <w:docPartObj>
        <w:docPartGallery w:val="Page Numbers (Bottom of Page)"/>
        <w:docPartUnique/>
      </w:docPartObj>
    </w:sdtPr>
    <w:sdtEndPr/>
    <w:sdtContent>
      <w:p w:rsidR="00462910" w:rsidRDefault="004629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87F">
          <w:rPr>
            <w:noProof/>
          </w:rPr>
          <w:t>1</w:t>
        </w:r>
        <w:r>
          <w:fldChar w:fldCharType="end"/>
        </w:r>
      </w:p>
    </w:sdtContent>
  </w:sdt>
  <w:p w:rsidR="00462910" w:rsidRDefault="004629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BFE" w:rsidRDefault="008A1BFE" w:rsidP="00AD1D5F">
      <w:pPr>
        <w:spacing w:after="0" w:line="240" w:lineRule="auto"/>
      </w:pPr>
      <w:r>
        <w:separator/>
      </w:r>
    </w:p>
  </w:footnote>
  <w:footnote w:type="continuationSeparator" w:id="0">
    <w:p w:rsidR="008A1BFE" w:rsidRDefault="008A1BFE" w:rsidP="00AD1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F2"/>
    <w:rsid w:val="000146B3"/>
    <w:rsid w:val="0002324C"/>
    <w:rsid w:val="00093DEB"/>
    <w:rsid w:val="000B4D70"/>
    <w:rsid w:val="000C6FF2"/>
    <w:rsid w:val="000E4E5C"/>
    <w:rsid w:val="000F3D3F"/>
    <w:rsid w:val="00135CC3"/>
    <w:rsid w:val="001E3D7B"/>
    <w:rsid w:val="001F1831"/>
    <w:rsid w:val="002230E5"/>
    <w:rsid w:val="0027226B"/>
    <w:rsid w:val="002B6978"/>
    <w:rsid w:val="00367D2B"/>
    <w:rsid w:val="003D1F97"/>
    <w:rsid w:val="00462910"/>
    <w:rsid w:val="005A285F"/>
    <w:rsid w:val="005A687F"/>
    <w:rsid w:val="005B40D1"/>
    <w:rsid w:val="005B6DB3"/>
    <w:rsid w:val="005D521F"/>
    <w:rsid w:val="00603C93"/>
    <w:rsid w:val="00641A37"/>
    <w:rsid w:val="00681296"/>
    <w:rsid w:val="00684A07"/>
    <w:rsid w:val="00774803"/>
    <w:rsid w:val="007861A4"/>
    <w:rsid w:val="007B770F"/>
    <w:rsid w:val="008A1BFE"/>
    <w:rsid w:val="008E422B"/>
    <w:rsid w:val="009412E6"/>
    <w:rsid w:val="00942448"/>
    <w:rsid w:val="00A5561B"/>
    <w:rsid w:val="00A672B3"/>
    <w:rsid w:val="00AD1D5F"/>
    <w:rsid w:val="00AE0DA7"/>
    <w:rsid w:val="00AE465A"/>
    <w:rsid w:val="00BB792C"/>
    <w:rsid w:val="00BE31F9"/>
    <w:rsid w:val="00C9572B"/>
    <w:rsid w:val="00D67AE1"/>
    <w:rsid w:val="00E01C21"/>
    <w:rsid w:val="00F0710B"/>
    <w:rsid w:val="00F81350"/>
    <w:rsid w:val="00F8639E"/>
    <w:rsid w:val="00FA46B0"/>
    <w:rsid w:val="00F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F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D5F"/>
  </w:style>
  <w:style w:type="paragraph" w:styleId="a7">
    <w:name w:val="footer"/>
    <w:basedOn w:val="a"/>
    <w:link w:val="a8"/>
    <w:uiPriority w:val="99"/>
    <w:unhideWhenUsed/>
    <w:rsid w:val="00AD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D5F"/>
  </w:style>
  <w:style w:type="table" w:styleId="a9">
    <w:name w:val="Table Grid"/>
    <w:basedOn w:val="a1"/>
    <w:rsid w:val="000B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9424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F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D5F"/>
  </w:style>
  <w:style w:type="paragraph" w:styleId="a7">
    <w:name w:val="footer"/>
    <w:basedOn w:val="a"/>
    <w:link w:val="a8"/>
    <w:uiPriority w:val="99"/>
    <w:unhideWhenUsed/>
    <w:rsid w:val="00AD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D5F"/>
  </w:style>
  <w:style w:type="table" w:styleId="a9">
    <w:name w:val="Table Grid"/>
    <w:basedOn w:val="a1"/>
    <w:rsid w:val="000B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9424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0287-2C06-43B3-A98C-073D1095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9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Карпович Е В</cp:lastModifiedBy>
  <cp:revision>10</cp:revision>
  <cp:lastPrinted>2016-03-04T07:06:00Z</cp:lastPrinted>
  <dcterms:created xsi:type="dcterms:W3CDTF">2016-03-02T04:22:00Z</dcterms:created>
  <dcterms:modified xsi:type="dcterms:W3CDTF">2016-03-25T08:57:00Z</dcterms:modified>
</cp:coreProperties>
</file>